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7832D0">
      <w:pPr>
        <w:bidi w:val="0"/>
        <w:jc w:val="center"/>
        <w:rPr>
          <w:rFonts w:hint="eastAsia" w:asciiTheme="minorEastAsia" w:hAnsiTheme="minorEastAsia" w:eastAsiaTheme="minorEastAsia" w:cstheme="minorEastAsia"/>
          <w:sz w:val="36"/>
          <w:szCs w:val="24"/>
          <w:lang w:val="en-US" w:eastAsia="zh-CN"/>
        </w:rPr>
      </w:pPr>
      <w:r>
        <w:rPr>
          <w:rFonts w:hint="eastAsia" w:asciiTheme="minorEastAsia" w:hAnsiTheme="minorEastAsia" w:eastAsiaTheme="minorEastAsia" w:cstheme="minorEastAsia"/>
          <w:sz w:val="36"/>
          <w:szCs w:val="24"/>
          <w:lang w:val="en-US" w:eastAsia="zh-CN"/>
        </w:rPr>
        <w:t>武汉市东湖医院医保一码付系统改造需求</w:t>
      </w:r>
      <w:bookmarkStart w:id="0" w:name="_GoBack"/>
      <w:bookmarkEnd w:id="0"/>
      <w:r>
        <w:rPr>
          <w:rFonts w:hint="eastAsia" w:asciiTheme="minorEastAsia" w:hAnsiTheme="minorEastAsia" w:eastAsiaTheme="minorEastAsia" w:cstheme="minorEastAsia"/>
          <w:sz w:val="36"/>
          <w:szCs w:val="24"/>
          <w:lang w:val="en-US" w:eastAsia="zh-CN"/>
        </w:rPr>
        <w:t>说明</w:t>
      </w:r>
    </w:p>
    <w:p w14:paraId="3ECC8934">
      <w:pPr>
        <w:pStyle w:val="2"/>
        <w:rPr>
          <w:rFonts w:hint="eastAsia"/>
          <w:sz w:val="10"/>
          <w:szCs w:val="10"/>
          <w:lang w:val="en-US" w:eastAsia="zh-CN"/>
        </w:rPr>
      </w:pPr>
    </w:p>
    <w:p w14:paraId="51682C7C">
      <w:pPr>
        <w:pStyle w:val="4"/>
        <w:numPr>
          <w:ilvl w:val="0"/>
          <w:numId w:val="2"/>
        </w:numPr>
        <w:bidi w:val="0"/>
        <w:ind w:leftChars="0"/>
        <w:rPr>
          <w:rFonts w:hint="eastAsia" w:ascii="仿宋" w:hAnsi="仿宋" w:eastAsia="仿宋" w:cs="仿宋"/>
          <w:lang w:val="en-US" w:eastAsia="zh-CN"/>
        </w:rPr>
      </w:pPr>
      <w:r>
        <w:rPr>
          <w:rFonts w:hint="eastAsia" w:ascii="仿宋" w:hAnsi="仿宋" w:eastAsia="仿宋" w:cs="仿宋"/>
          <w:lang w:val="en-US" w:eastAsia="zh-CN"/>
        </w:rPr>
        <w:t>技术需求</w:t>
      </w:r>
    </w:p>
    <w:p w14:paraId="40AF0BB3">
      <w:pPr>
        <w:numPr>
          <w:ilvl w:val="0"/>
          <w:numId w:val="0"/>
        </w:numPr>
        <w:rPr>
          <w:rFonts w:hint="eastAsia"/>
          <w:sz w:val="6"/>
          <w:szCs w:val="2"/>
          <w:lang w:val="en-US" w:eastAsia="zh-CN"/>
        </w:rPr>
      </w:pPr>
    </w:p>
    <w:tbl>
      <w:tblPr>
        <w:tblStyle w:val="1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77"/>
        <w:gridCol w:w="6542"/>
      </w:tblGrid>
      <w:tr w14:paraId="54FC5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1160" w:type="pct"/>
            <w:vAlign w:val="center"/>
          </w:tcPr>
          <w:p w14:paraId="7C578586">
            <w:pPr>
              <w:spacing w:line="24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需求分项</w:t>
            </w:r>
          </w:p>
        </w:tc>
        <w:tc>
          <w:tcPr>
            <w:tcW w:w="3839" w:type="pct"/>
            <w:vAlign w:val="center"/>
          </w:tcPr>
          <w:p w14:paraId="7C240C93">
            <w:pPr>
              <w:spacing w:line="24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技术参数要求</w:t>
            </w:r>
          </w:p>
        </w:tc>
      </w:tr>
      <w:tr w14:paraId="2616A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160" w:type="pct"/>
            <w:vMerge w:val="restart"/>
            <w:vAlign w:val="center"/>
          </w:tcPr>
          <w:p w14:paraId="2B6A030B">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自助医保一码付</w:t>
            </w:r>
          </w:p>
        </w:tc>
        <w:tc>
          <w:tcPr>
            <w:tcW w:w="3839" w:type="pct"/>
            <w:vAlign w:val="center"/>
          </w:tcPr>
          <w:p w14:paraId="2C48F046">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优化自助机自助服务系统医保码支付流程，在医院现有自助服务系统增加医保码展码引导页，支持参保患者通过微信或支付宝扫码开通医保一码付。</w:t>
            </w:r>
          </w:p>
        </w:tc>
      </w:tr>
      <w:tr w14:paraId="3E442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0" w:type="pct"/>
            <w:vMerge w:val="continue"/>
            <w:vAlign w:val="center"/>
          </w:tcPr>
          <w:p w14:paraId="0AADCED4">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sz w:val="24"/>
                <w:szCs w:val="24"/>
                <w:vertAlign w:val="baseline"/>
                <w:lang w:val="en-US" w:eastAsia="zh-CN"/>
              </w:rPr>
            </w:pPr>
          </w:p>
        </w:tc>
        <w:tc>
          <w:tcPr>
            <w:tcW w:w="3839" w:type="pct"/>
            <w:vAlign w:val="center"/>
          </w:tcPr>
          <w:p w14:paraId="507C97AA">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在自助机门诊缴费功能中，增加医保一码付支付方式，供患者选择。</w:t>
            </w:r>
          </w:p>
        </w:tc>
      </w:tr>
      <w:tr w14:paraId="0EAC7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0" w:type="pct"/>
            <w:vMerge w:val="continue"/>
            <w:vAlign w:val="center"/>
          </w:tcPr>
          <w:p w14:paraId="20305BB1">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sz w:val="24"/>
                <w:szCs w:val="24"/>
                <w:vertAlign w:val="baseline"/>
                <w:lang w:val="en-US" w:eastAsia="zh-CN"/>
              </w:rPr>
            </w:pPr>
          </w:p>
        </w:tc>
        <w:tc>
          <w:tcPr>
            <w:tcW w:w="3839" w:type="pct"/>
            <w:vAlign w:val="top"/>
          </w:tcPr>
          <w:p w14:paraId="2F7B3C41">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已签约医保一码付的参保患者，在门诊缴费时，通过出示微信或支付宝的医保码，一次展码完成医保统筹金、医保个人账户金和自费的结算。</w:t>
            </w:r>
          </w:p>
          <w:p w14:paraId="19A5377E">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未签约一码付患者，与现有支付流程保持一致，即先出示医保码，再出示自费付款码。</w:t>
            </w:r>
          </w:p>
        </w:tc>
      </w:tr>
      <w:tr w14:paraId="0AF68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0" w:type="pct"/>
            <w:vAlign w:val="center"/>
          </w:tcPr>
          <w:p w14:paraId="7B86A493">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窗口医保一码付</w:t>
            </w:r>
          </w:p>
        </w:tc>
        <w:tc>
          <w:tcPr>
            <w:tcW w:w="3839" w:type="pct"/>
            <w:vAlign w:val="top"/>
          </w:tcPr>
          <w:p w14:paraId="7C5A5E18">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在医院收费窗口增加一码付支付方式供窗口收费人员选择。</w:t>
            </w:r>
          </w:p>
          <w:p w14:paraId="5B88D48E">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已签约一码付的参保人通过出示微信或支付宝医保码，一次展码完成门诊费用结算。</w:t>
            </w:r>
          </w:p>
          <w:p w14:paraId="5F3F9FDD">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未签约一码付的参保人不改变现有支付流程，即先出示医保码，再出示自费付款码完成门诊费用结算。</w:t>
            </w:r>
          </w:p>
        </w:tc>
      </w:tr>
    </w:tbl>
    <w:p w14:paraId="77C4E9DD">
      <w:pPr>
        <w:pStyle w:val="4"/>
        <w:numPr>
          <w:ilvl w:val="0"/>
          <w:numId w:val="0"/>
        </w:numPr>
        <w:bidi w:val="0"/>
        <w:ind w:leftChars="0"/>
        <w:rPr>
          <w:rFonts w:hint="eastAsia" w:ascii="仿宋" w:hAnsi="仿宋" w:eastAsia="仿宋" w:cs="仿宋"/>
          <w:lang w:val="en-US" w:eastAsia="zh-CN"/>
        </w:rPr>
      </w:pPr>
    </w:p>
    <w:p w14:paraId="16F785B7">
      <w:pPr>
        <w:pStyle w:val="4"/>
        <w:numPr>
          <w:ilvl w:val="0"/>
          <w:numId w:val="2"/>
        </w:numPr>
        <w:bidi w:val="0"/>
        <w:ind w:left="0" w:leftChars="0" w:firstLine="0" w:firstLineChars="0"/>
        <w:rPr>
          <w:rFonts w:hint="eastAsia" w:ascii="仿宋" w:hAnsi="仿宋" w:eastAsia="仿宋" w:cs="仿宋"/>
          <w:lang w:val="en-US" w:eastAsia="zh-CN"/>
        </w:rPr>
      </w:pPr>
      <w:r>
        <w:rPr>
          <w:rFonts w:hint="eastAsia" w:ascii="仿宋" w:hAnsi="仿宋" w:eastAsia="仿宋" w:cs="仿宋"/>
          <w:lang w:val="en-US" w:eastAsia="zh-CN"/>
        </w:rPr>
        <w:t>商务需求</w:t>
      </w:r>
    </w:p>
    <w:p w14:paraId="3501E24E">
      <w:pPr>
        <w:numPr>
          <w:ilvl w:val="0"/>
          <w:numId w:val="0"/>
        </w:numPr>
        <w:ind w:leftChars="0"/>
        <w:rPr>
          <w:rFonts w:hint="eastAsia"/>
          <w:sz w:val="6"/>
          <w:szCs w:val="2"/>
          <w:lang w:val="en-US" w:eastAsia="zh-CN"/>
        </w:rPr>
      </w:pPr>
    </w:p>
    <w:p w14:paraId="1C801F8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0"/>
        <w:textAlignment w:val="baseline"/>
        <w:rPr>
          <w:rFonts w:hint="eastAsia" w:ascii="仿宋" w:hAnsi="仿宋" w:eastAsia="仿宋" w:cs="仿宋"/>
          <w:sz w:val="24"/>
          <w:szCs w:val="24"/>
        </w:rPr>
      </w:pPr>
      <w:r>
        <w:rPr>
          <w:rFonts w:hint="eastAsia" w:ascii="仿宋" w:hAnsi="仿宋" w:eastAsia="仿宋" w:cs="仿宋"/>
          <w:sz w:val="24"/>
          <w:szCs w:val="24"/>
        </w:rPr>
        <w:t>1、★交货期：合同签订之日起</w:t>
      </w:r>
      <w:r>
        <w:rPr>
          <w:rFonts w:hint="eastAsia" w:ascii="仿宋" w:hAnsi="仿宋" w:eastAsia="仿宋" w:cs="仿宋"/>
          <w:sz w:val="24"/>
          <w:szCs w:val="24"/>
          <w:lang w:val="en-US" w:eastAsia="zh-CN"/>
        </w:rPr>
        <w:t>3</w:t>
      </w:r>
      <w:r>
        <w:rPr>
          <w:rFonts w:hint="eastAsia" w:ascii="仿宋" w:hAnsi="仿宋" w:eastAsia="仿宋" w:cs="仿宋"/>
          <w:sz w:val="24"/>
          <w:szCs w:val="24"/>
        </w:rPr>
        <w:t>0个</w:t>
      </w:r>
      <w:r>
        <w:rPr>
          <w:rFonts w:hint="eastAsia" w:ascii="仿宋" w:hAnsi="仿宋" w:eastAsia="仿宋" w:cs="仿宋"/>
          <w:sz w:val="24"/>
          <w:szCs w:val="24"/>
          <w:lang w:val="en-US" w:eastAsia="zh-CN"/>
        </w:rPr>
        <w:t>工作日</w:t>
      </w:r>
      <w:r>
        <w:rPr>
          <w:rFonts w:hint="eastAsia" w:ascii="仿宋" w:hAnsi="仿宋" w:eastAsia="仿宋" w:cs="仿宋"/>
          <w:sz w:val="24"/>
          <w:szCs w:val="24"/>
        </w:rPr>
        <w:t>。</w:t>
      </w:r>
    </w:p>
    <w:p w14:paraId="6CCB724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0"/>
        <w:textAlignment w:val="baseline"/>
        <w:rPr>
          <w:rFonts w:hint="eastAsia" w:ascii="仿宋" w:hAnsi="仿宋" w:eastAsia="仿宋" w:cs="仿宋"/>
          <w:sz w:val="24"/>
          <w:szCs w:val="24"/>
        </w:rPr>
      </w:pPr>
      <w:r>
        <w:rPr>
          <w:rFonts w:hint="eastAsia" w:ascii="仿宋" w:hAnsi="仿宋" w:eastAsia="仿宋" w:cs="仿宋"/>
          <w:sz w:val="24"/>
          <w:szCs w:val="24"/>
        </w:rPr>
        <w:t>2、★质保期：验收合格之日起</w:t>
      </w:r>
      <w:r>
        <w:rPr>
          <w:rFonts w:hint="eastAsia" w:ascii="仿宋" w:hAnsi="仿宋" w:eastAsia="仿宋" w:cs="仿宋"/>
          <w:sz w:val="24"/>
          <w:szCs w:val="24"/>
          <w:lang w:val="en-US" w:eastAsia="zh-CN"/>
        </w:rPr>
        <w:t>1</w:t>
      </w:r>
      <w:r>
        <w:rPr>
          <w:rFonts w:hint="eastAsia" w:ascii="仿宋" w:hAnsi="仿宋" w:eastAsia="仿宋" w:cs="仿宋"/>
          <w:sz w:val="24"/>
          <w:szCs w:val="24"/>
        </w:rPr>
        <w:t>年免费质保服务。</w:t>
      </w:r>
    </w:p>
    <w:p w14:paraId="54E16B7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0"/>
        <w:textAlignment w:val="baseline"/>
        <w:rPr>
          <w:rFonts w:hint="eastAsia" w:ascii="仿宋" w:hAnsi="仿宋" w:eastAsia="仿宋" w:cs="仿宋"/>
          <w:sz w:val="24"/>
          <w:szCs w:val="24"/>
        </w:rPr>
      </w:pPr>
      <w:r>
        <w:rPr>
          <w:rFonts w:hint="eastAsia" w:ascii="仿宋" w:hAnsi="仿宋" w:eastAsia="仿宋" w:cs="仿宋"/>
          <w:sz w:val="24"/>
          <w:szCs w:val="24"/>
        </w:rPr>
        <w:t>3、项目交付地点：甲方指定地点。</w:t>
      </w:r>
    </w:p>
    <w:p w14:paraId="6504C4C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0"/>
        <w:textAlignment w:val="baseline"/>
        <w:rPr>
          <w:rFonts w:hint="eastAsia" w:ascii="仿宋" w:hAnsi="仿宋" w:eastAsia="仿宋" w:cs="仿宋"/>
          <w:sz w:val="24"/>
          <w:szCs w:val="24"/>
        </w:rPr>
      </w:pPr>
      <w:r>
        <w:rPr>
          <w:rFonts w:hint="eastAsia" w:ascii="仿宋" w:hAnsi="仿宋" w:eastAsia="仿宋" w:cs="仿宋"/>
          <w:sz w:val="24"/>
          <w:szCs w:val="24"/>
        </w:rPr>
        <w:t>4、★服务响应要求：提供7*24小时电话响应，接到采购人保修通知1小时内做出明确响应及安排，重大故障4小时内到达现场。</w:t>
      </w:r>
    </w:p>
    <w:p w14:paraId="6C25420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0"/>
        <w:textAlignment w:val="baseline"/>
        <w:rPr>
          <w:rFonts w:hint="eastAsia" w:ascii="仿宋" w:hAnsi="仿宋" w:eastAsia="仿宋" w:cs="仿宋"/>
          <w:sz w:val="24"/>
          <w:szCs w:val="24"/>
        </w:rPr>
      </w:pPr>
      <w:r>
        <w:rPr>
          <w:rFonts w:hint="eastAsia" w:ascii="仿宋" w:hAnsi="仿宋" w:eastAsia="仿宋" w:cs="仿宋"/>
          <w:sz w:val="24"/>
          <w:szCs w:val="24"/>
        </w:rPr>
        <w:t>5、报价要求：供应商的报价应包含为完成本招标文件提出的货物或服务等全部相关工作所有可能发生的费用。对在合同实施过程中可能发生的其他费用，采购人概不负责。</w:t>
      </w:r>
    </w:p>
    <w:p w14:paraId="311CC9D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0"/>
        <w:textAlignment w:val="baseline"/>
        <w:rPr>
          <w:rFonts w:hint="eastAsia" w:ascii="仿宋" w:hAnsi="仿宋" w:eastAsia="仿宋" w:cs="仿宋"/>
          <w:sz w:val="24"/>
          <w:szCs w:val="24"/>
        </w:rPr>
      </w:pPr>
      <w:r>
        <w:rPr>
          <w:rFonts w:hint="eastAsia" w:ascii="仿宋" w:hAnsi="仿宋" w:eastAsia="仿宋" w:cs="仿宋"/>
          <w:sz w:val="24"/>
          <w:szCs w:val="24"/>
        </w:rPr>
        <w:t>6、付款方式：</w:t>
      </w:r>
    </w:p>
    <w:p w14:paraId="0B89D58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0"/>
        <w:textAlignment w:val="baseline"/>
        <w:rPr>
          <w:rFonts w:hint="eastAsia" w:ascii="仿宋" w:hAnsi="仿宋" w:eastAsia="仿宋" w:cs="仿宋"/>
          <w:sz w:val="24"/>
          <w:szCs w:val="24"/>
        </w:rPr>
      </w:pPr>
      <w:r>
        <w:rPr>
          <w:rFonts w:hint="eastAsia" w:ascii="仿宋" w:hAnsi="仿宋" w:eastAsia="仿宋" w:cs="仿宋"/>
          <w:sz w:val="24"/>
          <w:szCs w:val="24"/>
        </w:rPr>
        <w:t>1）合同签订之日起</w:t>
      </w:r>
      <w:r>
        <w:rPr>
          <w:rFonts w:hint="eastAsia" w:ascii="仿宋" w:hAnsi="仿宋" w:eastAsia="仿宋" w:cs="仿宋"/>
          <w:sz w:val="24"/>
          <w:szCs w:val="24"/>
          <w:lang w:val="en-US" w:eastAsia="zh-CN"/>
        </w:rPr>
        <w:t>15</w:t>
      </w:r>
      <w:r>
        <w:rPr>
          <w:rFonts w:hint="eastAsia" w:ascii="仿宋" w:hAnsi="仿宋" w:eastAsia="仿宋" w:cs="仿宋"/>
          <w:sz w:val="24"/>
          <w:szCs w:val="24"/>
        </w:rPr>
        <w:t>个工作日内支付合同总价款的50%；</w:t>
      </w:r>
    </w:p>
    <w:p w14:paraId="5C9CE3D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0"/>
        <w:textAlignment w:val="baseline"/>
        <w:rPr>
          <w:rFonts w:hint="eastAsia" w:ascii="仿宋" w:hAnsi="仿宋" w:eastAsia="仿宋" w:cs="仿宋"/>
          <w:sz w:val="24"/>
          <w:szCs w:val="24"/>
        </w:rPr>
      </w:pPr>
      <w:r>
        <w:rPr>
          <w:rFonts w:hint="eastAsia" w:ascii="仿宋" w:hAnsi="仿宋" w:eastAsia="仿宋" w:cs="仿宋"/>
          <w:sz w:val="24"/>
          <w:szCs w:val="24"/>
        </w:rPr>
        <w:t>2）项目验收合格之日起</w:t>
      </w:r>
      <w:r>
        <w:rPr>
          <w:rFonts w:hint="eastAsia" w:ascii="仿宋" w:hAnsi="仿宋" w:eastAsia="仿宋" w:cs="仿宋"/>
          <w:sz w:val="24"/>
          <w:szCs w:val="24"/>
          <w:lang w:val="en-US" w:eastAsia="zh-CN"/>
        </w:rPr>
        <w:t>15</w:t>
      </w:r>
      <w:r>
        <w:rPr>
          <w:rFonts w:hint="eastAsia" w:ascii="仿宋" w:hAnsi="仿宋" w:eastAsia="仿宋" w:cs="仿宋"/>
          <w:sz w:val="24"/>
          <w:szCs w:val="24"/>
        </w:rPr>
        <w:t>个工作日内，支付合同总价款的</w:t>
      </w:r>
      <w:r>
        <w:rPr>
          <w:rFonts w:hint="eastAsia" w:ascii="仿宋" w:hAnsi="仿宋" w:eastAsia="仿宋" w:cs="仿宋"/>
          <w:sz w:val="24"/>
          <w:szCs w:val="24"/>
          <w:lang w:val="en-US" w:eastAsia="zh-CN"/>
        </w:rPr>
        <w:t>50</w:t>
      </w:r>
      <w:r>
        <w:rPr>
          <w:rFonts w:hint="eastAsia" w:ascii="仿宋" w:hAnsi="仿宋" w:eastAsia="仿宋" w:cs="仿宋"/>
          <w:sz w:val="24"/>
          <w:szCs w:val="24"/>
        </w:rPr>
        <w:t>%；</w:t>
      </w:r>
    </w:p>
    <w:p w14:paraId="4483F15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0"/>
        <w:textAlignment w:val="baseline"/>
        <w:rPr>
          <w:rFonts w:hint="eastAsia" w:ascii="仿宋" w:hAnsi="仿宋" w:eastAsia="仿宋" w:cs="仿宋"/>
          <w:lang w:val="en-US" w:eastAsia="zh-CN"/>
        </w:rPr>
      </w:pPr>
      <w:r>
        <w:rPr>
          <w:rFonts w:hint="eastAsia" w:ascii="仿宋" w:hAnsi="仿宋" w:eastAsia="仿宋" w:cs="仿宋"/>
          <w:sz w:val="24"/>
          <w:szCs w:val="24"/>
        </w:rPr>
        <w:t>7、验收要求：成交供应商完成工作内容后向采购人提出验收申请，经采购人组织评审通过视为验收合格。</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E62EFA"/>
    <w:multiLevelType w:val="singleLevel"/>
    <w:tmpl w:val="8CE62EFA"/>
    <w:lvl w:ilvl="0" w:tentative="0">
      <w:start w:val="1"/>
      <w:numFmt w:val="chineseCounting"/>
      <w:suff w:val="nothing"/>
      <w:lvlText w:val="%1、"/>
      <w:lvlJc w:val="left"/>
      <w:rPr>
        <w:rFonts w:hint="eastAsia"/>
      </w:rPr>
    </w:lvl>
  </w:abstractNum>
  <w:abstractNum w:abstractNumId="1">
    <w:nsid w:val="BFFF3418"/>
    <w:multiLevelType w:val="multilevel"/>
    <w:tmpl w:val="BFFF3418"/>
    <w:lvl w:ilvl="0" w:tentative="0">
      <w:start w:val="1"/>
      <w:numFmt w:val="decimal"/>
      <w:pStyle w:val="4"/>
      <w:suff w:val="nothing"/>
      <w:lvlText w:val="%1、"/>
      <w:lvlJc w:val="left"/>
      <w:pPr>
        <w:tabs>
          <w:tab w:val="left" w:pos="420"/>
        </w:tabs>
        <w:ind w:left="432" w:hanging="432"/>
      </w:pPr>
      <w:rPr>
        <w:rFonts w:hint="default"/>
        <w:b/>
        <w:bCs/>
      </w:rPr>
    </w:lvl>
    <w:lvl w:ilvl="1" w:tentative="0">
      <w:start w:val="1"/>
      <w:numFmt w:val="decimal"/>
      <w:pStyle w:val="5"/>
      <w:isLgl/>
      <w:suff w:val="nothing"/>
      <w:lvlText w:val="%1.%2."/>
      <w:lvlJc w:val="left"/>
      <w:pPr>
        <w:tabs>
          <w:tab w:val="left" w:pos="420"/>
        </w:tabs>
        <w:ind w:left="575" w:hanging="575"/>
      </w:pPr>
      <w:rPr>
        <w:rFonts w:hint="eastAsia"/>
        <w:b/>
        <w:bCs/>
      </w:rPr>
    </w:lvl>
    <w:lvl w:ilvl="2" w:tentative="0">
      <w:start w:val="1"/>
      <w:numFmt w:val="decimal"/>
      <w:pStyle w:val="6"/>
      <w:isLgl/>
      <w:suff w:val="nothing"/>
      <w:lvlText w:val="%1.%2.%3."/>
      <w:lvlJc w:val="left"/>
      <w:pPr>
        <w:tabs>
          <w:tab w:val="left" w:pos="420"/>
        </w:tabs>
        <w:ind w:left="720" w:hanging="720"/>
      </w:pPr>
      <w:rPr>
        <w:rFonts w:hint="eastAsia"/>
        <w:b w:val="0"/>
        <w:bCs w:val="0"/>
      </w:rPr>
    </w:lvl>
    <w:lvl w:ilvl="3" w:tentative="0">
      <w:start w:val="1"/>
      <w:numFmt w:val="decimal"/>
      <w:pStyle w:val="7"/>
      <w:isLgl/>
      <w:suff w:val="nothing"/>
      <w:lvlText w:val="%1.%2.%3.%4."/>
      <w:lvlJc w:val="left"/>
      <w:pPr>
        <w:tabs>
          <w:tab w:val="left" w:pos="420"/>
        </w:tabs>
        <w:ind w:left="864" w:hanging="864"/>
      </w:pPr>
      <w:rPr>
        <w:rFonts w:hint="eastAsia"/>
      </w:rPr>
    </w:lvl>
    <w:lvl w:ilvl="4" w:tentative="0">
      <w:start w:val="1"/>
      <w:numFmt w:val="decimal"/>
      <w:pStyle w:val="8"/>
      <w:lvlText w:val="%1.%2.%3.%4.%5."/>
      <w:lvlJc w:val="left"/>
      <w:pPr>
        <w:ind w:left="1008" w:hanging="1008"/>
      </w:pPr>
      <w:rPr>
        <w:rFonts w:hint="eastAsia"/>
      </w:rPr>
    </w:lvl>
    <w:lvl w:ilvl="5" w:tentative="0">
      <w:start w:val="1"/>
      <w:numFmt w:val="decimal"/>
      <w:pStyle w:val="9"/>
      <w:lvlText w:val="%1.%2.%3.%4.%5.%6."/>
      <w:lvlJc w:val="left"/>
      <w:pPr>
        <w:ind w:left="1151" w:hanging="1151"/>
      </w:pPr>
      <w:rPr>
        <w:rFonts w:hint="eastAsia"/>
      </w:rPr>
    </w:lvl>
    <w:lvl w:ilvl="6" w:tentative="0">
      <w:start w:val="1"/>
      <w:numFmt w:val="decimal"/>
      <w:pStyle w:val="10"/>
      <w:lvlText w:val="%1.%2.%3.%4.%5.%6.%7."/>
      <w:lvlJc w:val="left"/>
      <w:pPr>
        <w:ind w:left="1296" w:hanging="1296"/>
      </w:pPr>
      <w:rPr>
        <w:rFonts w:hint="eastAsia"/>
      </w:rPr>
    </w:lvl>
    <w:lvl w:ilvl="7" w:tentative="0">
      <w:start w:val="1"/>
      <w:numFmt w:val="decimal"/>
      <w:pStyle w:val="11"/>
      <w:lvlText w:val="%1.%2.%3.%4.%5.%6.%7.%8."/>
      <w:lvlJc w:val="left"/>
      <w:pPr>
        <w:ind w:left="1440" w:hanging="1440"/>
      </w:pPr>
      <w:rPr>
        <w:rFonts w:hint="eastAsia"/>
      </w:rPr>
    </w:lvl>
    <w:lvl w:ilvl="8" w:tentative="0">
      <w:start w:val="1"/>
      <w:numFmt w:val="decimal"/>
      <w:pStyle w:val="12"/>
      <w:lvlText w:val="%1.%2.%3.%4.%5.%6.%7.%8.%9."/>
      <w:lvlJc w:val="left"/>
      <w:pPr>
        <w:ind w:left="1583" w:hanging="1583"/>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FF817C"/>
    <w:rsid w:val="0DA7B0BC"/>
    <w:rsid w:val="19B57272"/>
    <w:rsid w:val="1BE1533A"/>
    <w:rsid w:val="1FDFCE5C"/>
    <w:rsid w:val="2CFF9BC7"/>
    <w:rsid w:val="302C76E5"/>
    <w:rsid w:val="3ADF60C5"/>
    <w:rsid w:val="3F7EF3D5"/>
    <w:rsid w:val="3FCF0B59"/>
    <w:rsid w:val="3FFBEA86"/>
    <w:rsid w:val="4567EFE2"/>
    <w:rsid w:val="55770227"/>
    <w:rsid w:val="57FFC02F"/>
    <w:rsid w:val="5FEB483F"/>
    <w:rsid w:val="5FEED66C"/>
    <w:rsid w:val="5FFB4C2A"/>
    <w:rsid w:val="6E979B28"/>
    <w:rsid w:val="6EBDE4E7"/>
    <w:rsid w:val="6FEF4266"/>
    <w:rsid w:val="6FF7B269"/>
    <w:rsid w:val="6FFF817C"/>
    <w:rsid w:val="6FFFD48C"/>
    <w:rsid w:val="72BB6E0C"/>
    <w:rsid w:val="735FACE2"/>
    <w:rsid w:val="76BDB2B3"/>
    <w:rsid w:val="7C288D01"/>
    <w:rsid w:val="7C2B2483"/>
    <w:rsid w:val="7E7656DA"/>
    <w:rsid w:val="7E771960"/>
    <w:rsid w:val="7EDF0EFA"/>
    <w:rsid w:val="7F936CE5"/>
    <w:rsid w:val="7FE93D1D"/>
    <w:rsid w:val="7FEFD1BA"/>
    <w:rsid w:val="7FF60D17"/>
    <w:rsid w:val="7FFBFAD6"/>
    <w:rsid w:val="7FFF932C"/>
    <w:rsid w:val="8BEF7EC8"/>
    <w:rsid w:val="AB1D0EF3"/>
    <w:rsid w:val="AFCD3BBB"/>
    <w:rsid w:val="B3EF6DC5"/>
    <w:rsid w:val="BCFF4FBB"/>
    <w:rsid w:val="BDF7418D"/>
    <w:rsid w:val="BEDFCF54"/>
    <w:rsid w:val="C5FE9108"/>
    <w:rsid w:val="C7DA34E1"/>
    <w:rsid w:val="CBFF6D02"/>
    <w:rsid w:val="D3B819B5"/>
    <w:rsid w:val="EF374EA7"/>
    <w:rsid w:val="EF9B32FA"/>
    <w:rsid w:val="EFDFCDCF"/>
    <w:rsid w:val="EFFF557A"/>
    <w:rsid w:val="F43F6A43"/>
    <w:rsid w:val="F5FEEF17"/>
    <w:rsid w:val="F6D7804B"/>
    <w:rsid w:val="F71B3DEE"/>
    <w:rsid w:val="F7B6F44C"/>
    <w:rsid w:val="FA8FE016"/>
    <w:rsid w:val="FBF9FA39"/>
    <w:rsid w:val="FCBC123F"/>
    <w:rsid w:val="FF5F8D77"/>
    <w:rsid w:val="FFEAC433"/>
    <w:rsid w:val="FFEB0B63"/>
    <w:rsid w:val="FFF6919C"/>
    <w:rsid w:val="FFFBA77C"/>
    <w:rsid w:val="FFFF63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kinsoku w:val="0"/>
      <w:autoSpaceDE w:val="0"/>
      <w:autoSpaceDN w:val="0"/>
      <w:adjustRightInd w:val="0"/>
      <w:snapToGrid w:val="0"/>
      <w:spacing w:line="360" w:lineRule="auto"/>
      <w:jc w:val="left"/>
      <w:textAlignment w:val="baseline"/>
    </w:pPr>
    <w:rPr>
      <w:rFonts w:ascii="Arial" w:hAnsi="Arial" w:eastAsia="仿宋" w:cs="Arial"/>
      <w:snapToGrid w:val="0"/>
      <w:color w:val="000000"/>
      <w:kern w:val="0"/>
      <w:sz w:val="28"/>
      <w:szCs w:val="21"/>
      <w:lang w:val="en-US" w:eastAsia="en-US" w:bidi="ar-SA"/>
    </w:rPr>
  </w:style>
  <w:style w:type="paragraph" w:styleId="4">
    <w:name w:val="heading 1"/>
    <w:basedOn w:val="1"/>
    <w:next w:val="1"/>
    <w:link w:val="18"/>
    <w:qFormat/>
    <w:uiPriority w:val="0"/>
    <w:pPr>
      <w:keepNext w:val="0"/>
      <w:keepLines w:val="0"/>
      <w:numPr>
        <w:ilvl w:val="0"/>
        <w:numId w:val="1"/>
      </w:numPr>
      <w:spacing w:line="279" w:lineRule="auto"/>
      <w:ind w:left="0" w:firstLine="0" w:firstLineChars="0"/>
      <w:outlineLvl w:val="0"/>
    </w:pPr>
    <w:rPr>
      <w:rFonts w:eastAsia="黑体" w:asciiTheme="majorAscii" w:hAnsiTheme="majorAscii" w:cstheme="majorBidi"/>
      <w:b/>
      <w:color w:val="000000" w:themeColor="text1"/>
      <w:sz w:val="30"/>
      <w:szCs w:val="48"/>
      <w14:textFill>
        <w14:solidFill>
          <w14:schemeClr w14:val="tx1"/>
        </w14:solidFill>
      </w14:textFill>
      <w14:ligatures w14:val="standardContextual"/>
    </w:rPr>
  </w:style>
  <w:style w:type="paragraph" w:styleId="5">
    <w:name w:val="heading 2"/>
    <w:basedOn w:val="1"/>
    <w:next w:val="1"/>
    <w:link w:val="17"/>
    <w:unhideWhenUsed/>
    <w:qFormat/>
    <w:uiPriority w:val="0"/>
    <w:pPr>
      <w:numPr>
        <w:ilvl w:val="1"/>
        <w:numId w:val="1"/>
      </w:numPr>
      <w:spacing w:before="0" w:beforeAutospacing="1" w:afterAutospacing="1" w:line="240" w:lineRule="auto"/>
      <w:ind w:left="575" w:hanging="575" w:firstLineChars="0"/>
      <w:jc w:val="left"/>
      <w:outlineLvl w:val="1"/>
    </w:pPr>
    <w:rPr>
      <w:rFonts w:hint="eastAsia" w:ascii="宋体" w:hAnsi="宋体" w:eastAsia="黑体" w:cs="宋体"/>
      <w:b/>
      <w:bCs/>
      <w:kern w:val="0"/>
      <w:sz w:val="30"/>
      <w:szCs w:val="36"/>
      <w:lang w:bidi="ar"/>
    </w:rPr>
  </w:style>
  <w:style w:type="paragraph" w:styleId="6">
    <w:name w:val="heading 3"/>
    <w:next w:val="1"/>
    <w:link w:val="16"/>
    <w:semiHidden/>
    <w:unhideWhenUsed/>
    <w:qFormat/>
    <w:uiPriority w:val="0"/>
    <w:pPr>
      <w:keepNext/>
      <w:keepLines/>
      <w:numPr>
        <w:ilvl w:val="2"/>
        <w:numId w:val="1"/>
      </w:numPr>
      <w:spacing w:beforeLines="0" w:beforeAutospacing="0" w:afterLines="0" w:afterAutospacing="0" w:line="360" w:lineRule="auto"/>
      <w:ind w:left="720" w:hanging="720"/>
      <w:outlineLvl w:val="2"/>
    </w:pPr>
    <w:rPr>
      <w:rFonts w:ascii="Calibri" w:hAnsi="Calibri" w:eastAsia="黑体" w:cstheme="minorBidi"/>
      <w:b/>
      <w:sz w:val="28"/>
    </w:rPr>
  </w:style>
  <w:style w:type="paragraph" w:styleId="7">
    <w:name w:val="heading 4"/>
    <w:next w:val="1"/>
    <w:semiHidden/>
    <w:unhideWhenUsed/>
    <w:qFormat/>
    <w:uiPriority w:val="0"/>
    <w:pPr>
      <w:keepNext/>
      <w:keepLines/>
      <w:numPr>
        <w:ilvl w:val="3"/>
        <w:numId w:val="1"/>
      </w:numPr>
      <w:spacing w:beforeLines="0" w:beforeAutospacing="0" w:afterLines="0" w:afterAutospacing="0" w:line="360" w:lineRule="auto"/>
      <w:ind w:left="864" w:hanging="864" w:firstLineChars="0"/>
      <w:outlineLvl w:val="3"/>
    </w:pPr>
    <w:rPr>
      <w:rFonts w:ascii="Arial" w:hAnsi="Arial" w:eastAsia="黑体" w:cstheme="minorBidi"/>
      <w:b/>
      <w:sz w:val="24"/>
    </w:rPr>
  </w:style>
  <w:style w:type="paragraph" w:styleId="8">
    <w:name w:val="heading 5"/>
    <w:next w:val="1"/>
    <w:semiHidden/>
    <w:unhideWhenUsed/>
    <w:qFormat/>
    <w:uiPriority w:val="0"/>
    <w:pPr>
      <w:keepNext/>
      <w:keepLines/>
      <w:numPr>
        <w:ilvl w:val="4"/>
        <w:numId w:val="1"/>
      </w:numPr>
      <w:tabs>
        <w:tab w:val="left" w:pos="420"/>
      </w:tabs>
      <w:spacing w:beforeLines="0" w:beforeAutospacing="0" w:afterLines="0" w:afterAutospacing="0" w:line="360" w:lineRule="auto"/>
      <w:ind w:left="1008" w:hanging="1008" w:firstLineChars="0"/>
      <w:outlineLvl w:val="4"/>
    </w:pPr>
    <w:rPr>
      <w:rFonts w:eastAsia="黑体" w:asciiTheme="minorAscii" w:hAnsiTheme="minorAscii" w:cstheme="minorBidi"/>
      <w:b/>
      <w:sz w:val="24"/>
    </w:rPr>
  </w:style>
  <w:style w:type="paragraph" w:styleId="9">
    <w:name w:val="heading 6"/>
    <w:basedOn w:val="1"/>
    <w:next w:val="1"/>
    <w:link w:val="19"/>
    <w:semiHidden/>
    <w:unhideWhenUsed/>
    <w:qFormat/>
    <w:uiPriority w:val="0"/>
    <w:pPr>
      <w:keepNext/>
      <w:keepLines/>
      <w:widowControl/>
      <w:numPr>
        <w:ilvl w:val="5"/>
        <w:numId w:val="1"/>
      </w:numPr>
      <w:ind w:left="1151" w:hanging="1151" w:firstLineChars="0"/>
      <w:outlineLvl w:val="5"/>
    </w:pPr>
    <w:rPr>
      <w:rFonts w:ascii="Calibri" w:hAnsi="Calibri" w:eastAsia="黑体" w:cs="Times New Roman"/>
      <w:b/>
      <w:szCs w:val="24"/>
    </w:rPr>
  </w:style>
  <w:style w:type="paragraph" w:styleId="10">
    <w:name w:val="heading 7"/>
    <w:basedOn w:val="1"/>
    <w:next w:val="1"/>
    <w:semiHidden/>
    <w:unhideWhenUsed/>
    <w:qFormat/>
    <w:uiPriority w:val="0"/>
    <w:pPr>
      <w:keepNext/>
      <w:keepLines/>
      <w:numPr>
        <w:ilvl w:val="6"/>
        <w:numId w:val="1"/>
      </w:numPr>
      <w:tabs>
        <w:tab w:val="left" w:pos="420"/>
      </w:tabs>
      <w:spacing w:before="240" w:beforeLines="0" w:beforeAutospacing="0" w:after="64" w:afterLines="0" w:afterAutospacing="0" w:line="317" w:lineRule="auto"/>
      <w:ind w:left="1296" w:hanging="1296" w:firstLineChars="0"/>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firstLineChars="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firstLineChars="0"/>
      <w:outlineLvl w:val="8"/>
    </w:pPr>
    <w:rPr>
      <w:rFonts w:ascii="Arial" w:hAnsi="Arial" w:eastAsia="黑体"/>
      <w:sz w:val="21"/>
    </w:rPr>
  </w:style>
  <w:style w:type="character" w:default="1" w:styleId="15">
    <w:name w:val="Default Paragraph Font"/>
    <w:semiHidden/>
    <w:unhideWhenUsed/>
    <w:uiPriority w:val="1"/>
  </w:style>
  <w:style w:type="table" w:default="1" w:styleId="13">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ind w:firstLine="352" w:firstLineChars="352"/>
    </w:pPr>
    <w:rPr>
      <w:rFonts w:ascii="仿宋_GB2312" w:hAnsi="Times New Roman" w:eastAsia="仿宋_GB2312" w:cs="Times New Roman"/>
      <w:sz w:val="32"/>
      <w:szCs w:val="20"/>
    </w:rPr>
  </w:style>
  <w:style w:type="table" w:styleId="14">
    <w:name w:val="Table Grid"/>
    <w:basedOn w:val="1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标题 3 Char"/>
    <w:link w:val="6"/>
    <w:uiPriority w:val="0"/>
    <w:rPr>
      <w:rFonts w:ascii="Calibri" w:hAnsi="Calibri" w:eastAsia="黑体" w:cstheme="minorBidi"/>
      <w:b/>
      <w:sz w:val="28"/>
    </w:rPr>
  </w:style>
  <w:style w:type="character" w:customStyle="1" w:styleId="17">
    <w:name w:val="标题 2 字符"/>
    <w:basedOn w:val="15"/>
    <w:link w:val="5"/>
    <w:qFormat/>
    <w:uiPriority w:val="9"/>
    <w:rPr>
      <w:rFonts w:ascii="宋体" w:hAnsi="宋体" w:eastAsia="黑体" w:cs="宋体"/>
      <w:b/>
      <w:bCs/>
      <w:sz w:val="30"/>
      <w:szCs w:val="32"/>
    </w:rPr>
  </w:style>
  <w:style w:type="character" w:customStyle="1" w:styleId="18">
    <w:name w:val="标题 1 字符"/>
    <w:basedOn w:val="15"/>
    <w:link w:val="4"/>
    <w:qFormat/>
    <w:uiPriority w:val="9"/>
    <w:rPr>
      <w:rFonts w:eastAsia="黑体" w:asciiTheme="majorAscii" w:hAnsiTheme="majorAscii" w:cstheme="majorBidi"/>
      <w:b/>
      <w:color w:val="000000" w:themeColor="text1"/>
      <w:sz w:val="30"/>
      <w:szCs w:val="48"/>
      <w14:textFill>
        <w14:solidFill>
          <w14:schemeClr w14:val="tx1"/>
        </w14:solidFill>
      </w14:textFill>
      <w14:ligatures w14:val="standardContextual"/>
    </w:rPr>
  </w:style>
  <w:style w:type="character" w:customStyle="1" w:styleId="19">
    <w:name w:val="标题 6 字符"/>
    <w:basedOn w:val="15"/>
    <w:link w:val="9"/>
    <w:qFormat/>
    <w:uiPriority w:val="0"/>
    <w:rPr>
      <w:rFonts w:ascii="Calibri" w:hAnsi="Calibri" w:eastAsia="黑体" w:cs="Times New Roman"/>
      <w:b/>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Office_12.8.2.17149_F1E327BC-269C-435d-A152-05C5408002CA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2026-09-23T17:19:00Z</dcterms:created>
  <dc:creator>Administrator</dc:creator>
  <cp:lastModifiedBy>丹尼</cp:lastModifiedBy>
  <dcterms:modified xsi:type="dcterms:W3CDTF">2026-09-24T02:10:38Z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2052-12.8.2.17149</vt:lpwstr>
  </property>
  <property fmtid="{D5CDD505-2E9C-101B-9397-08002B2CF9AE}" pid="3" name="ICV">
    <vt:lpwstr>ABEC84E895C60ABB0E29B36AF2F94873_41</vt:lpwstr>
  </property>
</Properties>
</file>