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EAD6E1D">
      <w:pPr>
        <w:jc w:val="center"/>
        <w:rPr>
          <w:rFonts w:ascii="宋体" w:hAnsi="宋体" w:eastAsia="宋体"/>
          <w:b/>
          <w:sz w:val="36"/>
          <w:szCs w:val="36"/>
        </w:rPr>
      </w:pPr>
      <w:bookmarkStart w:id="0" w:name="OLE_LINK1"/>
      <w:r>
        <w:rPr>
          <w:rFonts w:hint="eastAsia" w:ascii="宋体" w:hAnsi="宋体" w:eastAsia="宋体"/>
          <w:b/>
          <w:sz w:val="36"/>
          <w:szCs w:val="36"/>
        </w:rPr>
        <w:t>2025年华为刀片服务器机箱安全通讯板卡更新服务项目需求</w:t>
      </w:r>
    </w:p>
    <w:bookmarkEnd w:id="0"/>
    <w:p w14:paraId="1F08638E">
      <w:pPr>
        <w:pStyle w:val="2"/>
        <w:numPr>
          <w:ilvl w:val="0"/>
          <w:numId w:val="1"/>
        </w:numPr>
        <w:rPr>
          <w:sz w:val="28"/>
          <w:szCs w:val="28"/>
        </w:rPr>
      </w:pPr>
      <w:bookmarkStart w:id="1" w:name="_Toc48203667"/>
      <w:bookmarkStart w:id="2" w:name="_Toc26050"/>
      <w:r>
        <w:rPr>
          <w:rFonts w:hint="eastAsia"/>
          <w:sz w:val="28"/>
          <w:szCs w:val="28"/>
        </w:rPr>
        <w:t>项目概况</w:t>
      </w:r>
    </w:p>
    <w:p w14:paraId="2ACD63C6">
      <w:pPr>
        <w:wordWrap w:val="0"/>
        <w:spacing w:line="360" w:lineRule="auto"/>
        <w:ind w:firstLine="480" w:firstLineChars="200"/>
        <w:rPr>
          <w:rFonts w:ascii="宋体" w:hAnsi="宋体" w:eastAsia="宋体"/>
          <w:sz w:val="24"/>
        </w:rPr>
      </w:pPr>
      <w:r>
        <w:rPr>
          <w:rFonts w:ascii="宋体" w:hAnsi="宋体" w:eastAsia="宋体" w:cs="宋体"/>
          <w:sz w:val="24"/>
        </w:rPr>
        <w:t>武汉市生态环境宣教中心于</w:t>
      </w:r>
      <w:r>
        <w:rPr>
          <w:rFonts w:hint="eastAsia" w:ascii="宋体" w:hAnsi="宋体" w:eastAsia="宋体" w:cs="宋体"/>
          <w:sz w:val="24"/>
        </w:rPr>
        <w:t>2015年11月采购华为刀片服务器组建本地云服务，采用虚拟化方式集成刀片服务器的资源，部署多台应用服务器于本地云环境中。由于使用时间长，部分配件出现了老化和故障。2025年12月11日发现华为刀片服务器无法连接，多个应用无法使用。经过检查，是刀片服务器机箱安全通讯板卡</w:t>
      </w:r>
      <w:r>
        <w:rPr>
          <w:rFonts w:ascii="宋体" w:hAnsi="宋体" w:eastAsia="宋体" w:cs="宋体"/>
          <w:sz w:val="24"/>
        </w:rPr>
        <w:t>故障，导致服务器与存储无法数据传输，业务系统无法正常使用</w:t>
      </w:r>
      <w:r>
        <w:rPr>
          <w:rFonts w:hint="eastAsia" w:ascii="宋体" w:hAnsi="宋体" w:eastAsia="宋体" w:cs="宋体"/>
          <w:sz w:val="24"/>
        </w:rPr>
        <w:t>，</w:t>
      </w:r>
      <w:r>
        <w:rPr>
          <w:rFonts w:ascii="宋体" w:hAnsi="宋体" w:eastAsia="宋体" w:cs="宋体"/>
          <w:sz w:val="24"/>
        </w:rPr>
        <w:t>需对这块安全通讯板卡</w:t>
      </w:r>
      <w:r>
        <w:rPr>
          <w:rFonts w:hint="eastAsia" w:ascii="宋体" w:hAnsi="宋体" w:eastAsia="宋体" w:cs="宋体"/>
          <w:sz w:val="24"/>
        </w:rPr>
        <w:t>进行检测</w:t>
      </w:r>
      <w:r>
        <w:rPr>
          <w:rFonts w:ascii="宋体" w:hAnsi="宋体" w:eastAsia="宋体" w:cs="宋体"/>
          <w:sz w:val="24"/>
        </w:rPr>
        <w:t>更新服务。</w:t>
      </w:r>
    </w:p>
    <w:bookmarkEnd w:id="1"/>
    <w:bookmarkEnd w:id="2"/>
    <w:p w14:paraId="1FE00F36">
      <w:pPr>
        <w:pStyle w:val="2"/>
        <w:numPr>
          <w:ilvl w:val="0"/>
          <w:numId w:val="1"/>
        </w:numPr>
        <w:rPr>
          <w:sz w:val="28"/>
          <w:szCs w:val="28"/>
        </w:rPr>
      </w:pPr>
      <w:r>
        <w:rPr>
          <w:rFonts w:hint="eastAsia"/>
          <w:sz w:val="28"/>
          <w:szCs w:val="28"/>
        </w:rPr>
        <w:t>项目内容</w:t>
      </w:r>
    </w:p>
    <w:p w14:paraId="58ADCFBA">
      <w:pPr>
        <w:pStyle w:val="17"/>
        <w:spacing w:line="360" w:lineRule="auto"/>
        <w:ind w:left="420" w:firstLine="0" w:firstLineChars="0"/>
        <w:rPr>
          <w:rFonts w:ascii="宋体" w:hAnsi="宋体" w:eastAsia="宋体"/>
          <w:sz w:val="24"/>
        </w:rPr>
      </w:pPr>
      <w:r>
        <w:rPr>
          <w:rFonts w:hint="eastAsia" w:ascii="宋体" w:hAnsi="宋体" w:eastAsia="宋体"/>
          <w:sz w:val="24"/>
        </w:rPr>
        <w:t>对华为刀片服务器机箱安全通讯板卡进行检测更新服务，包括信号检测、线路测试、板卡更新、业务恢复和并出具服务过程报告。</w:t>
      </w:r>
    </w:p>
    <w:p w14:paraId="088D48CA">
      <w:pPr>
        <w:pStyle w:val="2"/>
        <w:numPr>
          <w:ilvl w:val="0"/>
          <w:numId w:val="1"/>
        </w:numPr>
        <w:rPr>
          <w:sz w:val="28"/>
          <w:szCs w:val="28"/>
        </w:rPr>
      </w:pPr>
      <w:r>
        <w:rPr>
          <w:rFonts w:hint="eastAsia"/>
          <w:sz w:val="28"/>
          <w:szCs w:val="28"/>
        </w:rPr>
        <w:t>技术要求</w:t>
      </w:r>
    </w:p>
    <w:p w14:paraId="03405FD6">
      <w:pPr>
        <w:wordWrap w:val="0"/>
        <w:spacing w:line="360" w:lineRule="auto"/>
        <w:ind w:firstLine="480" w:firstLineChars="200"/>
        <w:rPr>
          <w:rFonts w:ascii="宋体" w:hAnsi="宋体" w:eastAsia="宋体"/>
          <w:sz w:val="24"/>
        </w:rPr>
      </w:pPr>
      <w:r>
        <w:rPr>
          <w:rFonts w:hint="eastAsia" w:ascii="宋体" w:hAnsi="宋体" w:eastAsia="宋体"/>
          <w:sz w:val="24"/>
        </w:rPr>
        <w:t>本项目技术要求如下:</w:t>
      </w:r>
    </w:p>
    <w:tbl>
      <w:tblPr>
        <w:tblStyle w:val="9"/>
        <w:tblW w:w="5066" w:type="pct"/>
        <w:tblInd w:w="-114" w:type="dxa"/>
        <w:tblLayout w:type="autofit"/>
        <w:tblCellMar>
          <w:top w:w="0" w:type="dxa"/>
          <w:left w:w="108" w:type="dxa"/>
          <w:bottom w:w="0" w:type="dxa"/>
          <w:right w:w="108" w:type="dxa"/>
        </w:tblCellMar>
      </w:tblPr>
      <w:tblGrid>
        <w:gridCol w:w="747"/>
        <w:gridCol w:w="874"/>
        <w:gridCol w:w="4414"/>
        <w:gridCol w:w="710"/>
        <w:gridCol w:w="708"/>
        <w:gridCol w:w="1181"/>
      </w:tblGrid>
      <w:tr w14:paraId="1E5505E1">
        <w:tblPrEx>
          <w:tblCellMar>
            <w:top w:w="0" w:type="dxa"/>
            <w:left w:w="108" w:type="dxa"/>
            <w:bottom w:w="0" w:type="dxa"/>
            <w:right w:w="108" w:type="dxa"/>
          </w:tblCellMar>
        </w:tblPrEx>
        <w:trPr>
          <w:trHeight w:val="200" w:hRule="atLeast"/>
        </w:trPr>
        <w:tc>
          <w:tcPr>
            <w:tcW w:w="5000" w:type="pct"/>
            <w:gridSpan w:val="6"/>
            <w:tcBorders>
              <w:top w:val="single" w:color="auto" w:sz="4" w:space="0"/>
              <w:left w:val="single" w:color="auto" w:sz="4" w:space="0"/>
              <w:bottom w:val="single" w:color="auto" w:sz="4" w:space="0"/>
              <w:right w:val="single" w:color="000000" w:sz="4" w:space="0"/>
            </w:tcBorders>
            <w:shd w:val="clear" w:color="000000" w:fill="D9D9D9"/>
            <w:vAlign w:val="center"/>
          </w:tcPr>
          <w:p w14:paraId="75C8403B">
            <w:pPr>
              <w:widowControl/>
              <w:jc w:val="center"/>
              <w:rPr>
                <w:rFonts w:ascii="宋体" w:hAnsi="宋体" w:eastAsia="宋体" w:cs="宋体"/>
                <w:b/>
                <w:bCs/>
                <w:kern w:val="0"/>
                <w:szCs w:val="21"/>
              </w:rPr>
            </w:pPr>
            <w:r>
              <w:rPr>
                <w:rFonts w:hint="eastAsia" w:ascii="宋体" w:hAnsi="宋体" w:eastAsia="宋体" w:cs="宋体"/>
                <w:b/>
                <w:bCs/>
                <w:kern w:val="0"/>
                <w:szCs w:val="21"/>
              </w:rPr>
              <w:t>华为刀片服务器机箱安全通讯板卡更新服务</w:t>
            </w:r>
          </w:p>
        </w:tc>
      </w:tr>
      <w:tr w14:paraId="7E5CD44F">
        <w:tblPrEx>
          <w:tblCellMar>
            <w:top w:w="0" w:type="dxa"/>
            <w:left w:w="108" w:type="dxa"/>
            <w:bottom w:w="0" w:type="dxa"/>
            <w:right w:w="108" w:type="dxa"/>
          </w:tblCellMar>
        </w:tblPrEx>
        <w:trPr>
          <w:trHeight w:val="131" w:hRule="atLeast"/>
        </w:trPr>
        <w:tc>
          <w:tcPr>
            <w:tcW w:w="433" w:type="pct"/>
            <w:tcBorders>
              <w:top w:val="nil"/>
              <w:left w:val="single" w:color="auto" w:sz="4" w:space="0"/>
              <w:bottom w:val="single" w:color="auto" w:sz="4" w:space="0"/>
              <w:right w:val="single" w:color="auto" w:sz="4" w:space="0"/>
            </w:tcBorders>
            <w:shd w:val="clear" w:color="000000" w:fill="D9D9D9"/>
            <w:vAlign w:val="center"/>
          </w:tcPr>
          <w:p w14:paraId="3ECF58B0">
            <w:pPr>
              <w:widowControl/>
              <w:jc w:val="center"/>
              <w:rPr>
                <w:rFonts w:ascii="宋体" w:hAnsi="宋体" w:eastAsia="宋体" w:cs="宋体"/>
                <w:b/>
                <w:bCs/>
                <w:kern w:val="0"/>
                <w:szCs w:val="21"/>
              </w:rPr>
            </w:pPr>
            <w:r>
              <w:rPr>
                <w:rFonts w:hint="eastAsia" w:ascii="宋体" w:hAnsi="宋体" w:eastAsia="宋体" w:cs="宋体"/>
                <w:b/>
                <w:bCs/>
                <w:kern w:val="0"/>
                <w:szCs w:val="21"/>
              </w:rPr>
              <w:t>序号</w:t>
            </w:r>
          </w:p>
        </w:tc>
        <w:tc>
          <w:tcPr>
            <w:tcW w:w="506" w:type="pct"/>
            <w:tcBorders>
              <w:top w:val="nil"/>
              <w:left w:val="nil"/>
              <w:bottom w:val="single" w:color="auto" w:sz="4" w:space="0"/>
              <w:right w:val="single" w:color="auto" w:sz="4" w:space="0"/>
            </w:tcBorders>
            <w:shd w:val="clear" w:color="000000" w:fill="D9D9D9"/>
            <w:vAlign w:val="center"/>
          </w:tcPr>
          <w:p w14:paraId="338A2A82">
            <w:pPr>
              <w:widowControl/>
              <w:jc w:val="center"/>
              <w:rPr>
                <w:rFonts w:ascii="宋体" w:hAnsi="宋体" w:eastAsia="宋体" w:cs="宋体"/>
                <w:b/>
                <w:bCs/>
                <w:kern w:val="0"/>
                <w:szCs w:val="21"/>
              </w:rPr>
            </w:pPr>
            <w:r>
              <w:rPr>
                <w:rFonts w:hint="eastAsia" w:ascii="宋体" w:hAnsi="宋体" w:eastAsia="宋体" w:cs="宋体"/>
                <w:b/>
                <w:bCs/>
                <w:kern w:val="0"/>
                <w:szCs w:val="21"/>
              </w:rPr>
              <w:t>名称</w:t>
            </w:r>
          </w:p>
        </w:tc>
        <w:tc>
          <w:tcPr>
            <w:tcW w:w="2556" w:type="pct"/>
            <w:tcBorders>
              <w:top w:val="nil"/>
              <w:left w:val="nil"/>
              <w:bottom w:val="single" w:color="auto" w:sz="4" w:space="0"/>
              <w:right w:val="single" w:color="auto" w:sz="4" w:space="0"/>
            </w:tcBorders>
            <w:shd w:val="clear" w:color="000000" w:fill="D9D9D9"/>
            <w:vAlign w:val="center"/>
          </w:tcPr>
          <w:p w14:paraId="568D9D82">
            <w:pPr>
              <w:widowControl/>
              <w:jc w:val="center"/>
              <w:rPr>
                <w:rFonts w:ascii="宋体" w:hAnsi="宋体" w:eastAsia="宋体" w:cs="宋体"/>
                <w:b/>
                <w:bCs/>
                <w:kern w:val="0"/>
                <w:szCs w:val="21"/>
              </w:rPr>
            </w:pPr>
            <w:r>
              <w:rPr>
                <w:rFonts w:hint="eastAsia" w:ascii="宋体" w:hAnsi="宋体" w:eastAsia="宋体" w:cs="宋体"/>
                <w:b/>
                <w:bCs/>
                <w:kern w:val="0"/>
                <w:szCs w:val="21"/>
              </w:rPr>
              <w:t>功能参数</w:t>
            </w:r>
          </w:p>
        </w:tc>
        <w:tc>
          <w:tcPr>
            <w:tcW w:w="411" w:type="pct"/>
            <w:tcBorders>
              <w:top w:val="nil"/>
              <w:left w:val="nil"/>
              <w:bottom w:val="single" w:color="auto" w:sz="4" w:space="0"/>
              <w:right w:val="single" w:color="auto" w:sz="4" w:space="0"/>
            </w:tcBorders>
            <w:shd w:val="clear" w:color="000000" w:fill="D9D9D9"/>
            <w:vAlign w:val="center"/>
          </w:tcPr>
          <w:p w14:paraId="11E06DBB">
            <w:pPr>
              <w:widowControl/>
              <w:jc w:val="center"/>
              <w:rPr>
                <w:rFonts w:ascii="宋体" w:hAnsi="宋体" w:eastAsia="宋体" w:cs="宋体"/>
                <w:b/>
                <w:bCs/>
                <w:kern w:val="0"/>
                <w:szCs w:val="21"/>
              </w:rPr>
            </w:pPr>
            <w:r>
              <w:rPr>
                <w:rFonts w:hint="eastAsia" w:ascii="宋体" w:hAnsi="宋体" w:eastAsia="宋体" w:cs="宋体"/>
                <w:b/>
                <w:bCs/>
                <w:kern w:val="0"/>
                <w:szCs w:val="21"/>
              </w:rPr>
              <w:t>数量</w:t>
            </w:r>
          </w:p>
        </w:tc>
        <w:tc>
          <w:tcPr>
            <w:tcW w:w="410" w:type="pct"/>
            <w:tcBorders>
              <w:top w:val="nil"/>
              <w:left w:val="nil"/>
              <w:bottom w:val="single" w:color="auto" w:sz="4" w:space="0"/>
              <w:right w:val="single" w:color="auto" w:sz="4" w:space="0"/>
            </w:tcBorders>
            <w:shd w:val="clear" w:color="000000" w:fill="D9D9D9"/>
            <w:vAlign w:val="center"/>
          </w:tcPr>
          <w:p w14:paraId="69DE48D1">
            <w:pPr>
              <w:widowControl/>
              <w:jc w:val="center"/>
              <w:rPr>
                <w:rFonts w:ascii="宋体" w:hAnsi="宋体" w:eastAsia="宋体" w:cs="宋体"/>
                <w:b/>
                <w:bCs/>
                <w:kern w:val="0"/>
                <w:szCs w:val="21"/>
              </w:rPr>
            </w:pPr>
            <w:r>
              <w:rPr>
                <w:rFonts w:hint="eastAsia" w:ascii="宋体" w:hAnsi="宋体" w:eastAsia="宋体" w:cs="宋体"/>
                <w:b/>
                <w:bCs/>
                <w:kern w:val="0"/>
                <w:szCs w:val="21"/>
              </w:rPr>
              <w:t>单位</w:t>
            </w:r>
          </w:p>
        </w:tc>
        <w:tc>
          <w:tcPr>
            <w:tcW w:w="684" w:type="pct"/>
            <w:tcBorders>
              <w:top w:val="nil"/>
              <w:left w:val="nil"/>
              <w:bottom w:val="single" w:color="auto" w:sz="4" w:space="0"/>
              <w:right w:val="single" w:color="auto" w:sz="4" w:space="0"/>
            </w:tcBorders>
            <w:shd w:val="clear" w:color="000000" w:fill="D9D9D9"/>
            <w:vAlign w:val="center"/>
          </w:tcPr>
          <w:p w14:paraId="0F9C6860">
            <w:pPr>
              <w:widowControl/>
              <w:jc w:val="center"/>
              <w:rPr>
                <w:rFonts w:ascii="宋体" w:hAnsi="宋体" w:eastAsia="宋体" w:cs="宋体"/>
                <w:b/>
                <w:bCs/>
                <w:kern w:val="0"/>
                <w:szCs w:val="21"/>
              </w:rPr>
            </w:pPr>
            <w:r>
              <w:rPr>
                <w:rFonts w:hint="eastAsia" w:ascii="宋体" w:hAnsi="宋体" w:eastAsia="宋体" w:cs="宋体"/>
                <w:b/>
                <w:bCs/>
                <w:kern w:val="0"/>
                <w:szCs w:val="21"/>
              </w:rPr>
              <w:t>备注</w:t>
            </w:r>
          </w:p>
        </w:tc>
      </w:tr>
      <w:tr w14:paraId="2CF7AD18">
        <w:tblPrEx>
          <w:tblCellMar>
            <w:top w:w="0" w:type="dxa"/>
            <w:left w:w="108" w:type="dxa"/>
            <w:bottom w:w="0" w:type="dxa"/>
            <w:right w:w="108" w:type="dxa"/>
          </w:tblCellMar>
        </w:tblPrEx>
        <w:trPr>
          <w:trHeight w:val="90" w:hRule="atLeast"/>
        </w:trPr>
        <w:tc>
          <w:tcPr>
            <w:tcW w:w="433" w:type="pct"/>
            <w:tcBorders>
              <w:top w:val="nil"/>
              <w:left w:val="single" w:color="auto" w:sz="4" w:space="0"/>
              <w:bottom w:val="single" w:color="auto" w:sz="4" w:space="0"/>
              <w:right w:val="single" w:color="auto" w:sz="4" w:space="0"/>
            </w:tcBorders>
            <w:shd w:val="clear" w:color="auto" w:fill="auto"/>
            <w:vAlign w:val="center"/>
          </w:tcPr>
          <w:p w14:paraId="4A49C5B2">
            <w:pPr>
              <w:widowControl/>
              <w:jc w:val="center"/>
              <w:rPr>
                <w:rFonts w:ascii="宋体" w:hAnsi="宋体" w:eastAsia="宋体" w:cs="宋体"/>
                <w:kern w:val="0"/>
                <w:szCs w:val="21"/>
              </w:rPr>
            </w:pPr>
            <w:r>
              <w:rPr>
                <w:rFonts w:hint="eastAsia" w:ascii="宋体" w:hAnsi="宋体" w:eastAsia="宋体" w:cs="宋体"/>
                <w:kern w:val="0"/>
                <w:szCs w:val="21"/>
              </w:rPr>
              <w:t>1</w:t>
            </w:r>
          </w:p>
        </w:tc>
        <w:tc>
          <w:tcPr>
            <w:tcW w:w="506" w:type="pct"/>
            <w:tcBorders>
              <w:top w:val="nil"/>
              <w:left w:val="nil"/>
              <w:bottom w:val="single" w:color="auto" w:sz="4" w:space="0"/>
              <w:right w:val="single" w:color="auto" w:sz="4" w:space="0"/>
            </w:tcBorders>
            <w:shd w:val="clear" w:color="auto" w:fill="auto"/>
            <w:vAlign w:val="center"/>
          </w:tcPr>
          <w:p w14:paraId="0B322631">
            <w:pPr>
              <w:widowControl/>
              <w:jc w:val="center"/>
              <w:rPr>
                <w:rFonts w:ascii="宋体" w:hAnsi="宋体" w:eastAsia="宋体" w:cs="宋体"/>
                <w:kern w:val="0"/>
                <w:szCs w:val="21"/>
              </w:rPr>
            </w:pPr>
            <w:r>
              <w:rPr>
                <w:rFonts w:hint="eastAsia" w:ascii="宋体" w:hAnsi="宋体" w:eastAsia="宋体" w:cs="宋体"/>
                <w:kern w:val="0"/>
                <w:szCs w:val="21"/>
              </w:rPr>
              <w:t>华为刀片服务器机箱安全通讯板卡更新服务</w:t>
            </w:r>
          </w:p>
        </w:tc>
        <w:tc>
          <w:tcPr>
            <w:tcW w:w="2556" w:type="pct"/>
            <w:tcBorders>
              <w:top w:val="nil"/>
              <w:left w:val="nil"/>
              <w:bottom w:val="single" w:color="auto" w:sz="4" w:space="0"/>
              <w:right w:val="single" w:color="auto" w:sz="4" w:space="0"/>
            </w:tcBorders>
            <w:shd w:val="clear" w:color="auto" w:fill="auto"/>
            <w:vAlign w:val="center"/>
          </w:tcPr>
          <w:p w14:paraId="631BAAFE">
            <w:pPr>
              <w:widowControl/>
              <w:rPr>
                <w:rFonts w:ascii="宋体" w:hAnsi="宋体" w:eastAsia="宋体" w:cs="宋体"/>
                <w:kern w:val="0"/>
                <w:szCs w:val="21"/>
              </w:rPr>
            </w:pPr>
            <w:r>
              <w:rPr>
                <w:rFonts w:hint="eastAsia" w:ascii="宋体" w:hAnsi="宋体" w:eastAsia="宋体" w:cs="宋体"/>
                <w:kern w:val="0"/>
                <w:szCs w:val="21"/>
              </w:rPr>
              <w:t>1.采用</w:t>
            </w:r>
            <w:r>
              <w:rPr>
                <w:rFonts w:ascii="宋体" w:hAnsi="宋体" w:eastAsia="宋体" w:cs="宋体"/>
                <w:kern w:val="0"/>
                <w:szCs w:val="21"/>
              </w:rPr>
              <w:t>1+1冗余HMM管理模块,支持SNMP,IPMI,统一管理框内计算和交换设备</w:t>
            </w:r>
          </w:p>
          <w:p w14:paraId="377BB0FC">
            <w:pPr>
              <w:widowControl/>
              <w:rPr>
                <w:rFonts w:ascii="宋体" w:hAnsi="宋体" w:eastAsia="宋体" w:cs="宋体"/>
                <w:kern w:val="0"/>
                <w:szCs w:val="21"/>
              </w:rPr>
            </w:pPr>
            <w:r>
              <w:rPr>
                <w:rFonts w:hint="eastAsia" w:ascii="宋体" w:hAnsi="宋体" w:eastAsia="宋体" w:cs="宋体"/>
                <w:kern w:val="0"/>
                <w:szCs w:val="21"/>
              </w:rPr>
              <w:t>2. 支持</w:t>
            </w:r>
            <w:r>
              <w:rPr>
                <w:rFonts w:ascii="宋体" w:hAnsi="宋体" w:eastAsia="宋体" w:cs="宋体"/>
                <w:kern w:val="0"/>
                <w:szCs w:val="21"/>
              </w:rPr>
              <w:t>GUI,虚拟KVM,虚拟媒体,SOL,远程控制,硬件监控,智能电源,历史功耗等全方位管理功能</w:t>
            </w:r>
          </w:p>
          <w:p w14:paraId="786AC7CC">
            <w:pPr>
              <w:widowControl/>
              <w:rPr>
                <w:rFonts w:hint="eastAsia" w:ascii="宋体" w:hAnsi="宋体" w:eastAsia="宋体" w:cs="宋体"/>
                <w:kern w:val="0"/>
                <w:szCs w:val="21"/>
              </w:rPr>
            </w:pPr>
            <w:r>
              <w:rPr>
                <w:rFonts w:hint="eastAsia" w:ascii="宋体" w:hAnsi="宋体" w:eastAsia="宋体" w:cs="宋体"/>
                <w:kern w:val="0"/>
                <w:szCs w:val="21"/>
              </w:rPr>
              <w:t>3. 提供多框级联管理</w:t>
            </w:r>
            <w:r>
              <w:rPr>
                <w:rFonts w:ascii="宋体" w:hAnsi="宋体" w:eastAsia="宋体" w:cs="宋体"/>
                <w:kern w:val="0"/>
                <w:szCs w:val="21"/>
              </w:rPr>
              <w:t>,图形化网络配置,无状态计算等增值管理特性</w:t>
            </w:r>
            <w:r>
              <w:rPr>
                <w:rFonts w:hint="eastAsia" w:ascii="宋体" w:hAnsi="宋体" w:eastAsia="宋体" w:cs="宋体"/>
                <w:kern w:val="0"/>
                <w:szCs w:val="21"/>
              </w:rPr>
              <w:br w:type="textWrapping"/>
            </w:r>
            <w:r>
              <w:rPr>
                <w:rFonts w:hint="eastAsia" w:ascii="宋体" w:hAnsi="宋体" w:eastAsia="宋体" w:cs="宋体"/>
                <w:kern w:val="0"/>
                <w:szCs w:val="21"/>
              </w:rPr>
              <w:t>4. 刀片系统</w:t>
            </w:r>
            <w:r>
              <w:rPr>
                <w:rFonts w:ascii="宋体" w:hAnsi="宋体" w:eastAsia="宋体" w:cs="宋体"/>
                <w:kern w:val="0"/>
                <w:szCs w:val="21"/>
              </w:rPr>
              <w:t>:16个半宽槽位或8个全宽槽位,支持全宽,半宽灵活组合</w:t>
            </w:r>
          </w:p>
          <w:p w14:paraId="34CAC756">
            <w:pPr>
              <w:widowControl/>
              <w:rPr>
                <w:rFonts w:hint="eastAsia" w:ascii="宋体" w:hAnsi="宋体" w:eastAsia="宋体" w:cs="宋体"/>
                <w:kern w:val="0"/>
                <w:szCs w:val="21"/>
              </w:rPr>
            </w:pPr>
            <w:r>
              <w:rPr>
                <w:rFonts w:hint="eastAsia" w:ascii="宋体" w:hAnsi="宋体" w:eastAsia="宋体" w:cs="宋体"/>
                <w:kern w:val="0"/>
                <w:szCs w:val="21"/>
              </w:rPr>
              <w:t>5.多平面交换模块</w:t>
            </w:r>
            <w:r>
              <w:rPr>
                <w:rFonts w:ascii="宋体" w:hAnsi="宋体" w:eastAsia="宋体" w:cs="宋体"/>
                <w:kern w:val="0"/>
                <w:szCs w:val="21"/>
              </w:rPr>
              <w:t>,支持FC接口:4×10GE+12×GE+8×8G FC上行, 32×GE+16×8G FC下行</w:t>
            </w:r>
          </w:p>
          <w:p w14:paraId="40F043BA">
            <w:pPr>
              <w:widowControl/>
              <w:rPr>
                <w:rFonts w:hint="eastAsia" w:ascii="宋体" w:hAnsi="宋体" w:eastAsia="宋体" w:cs="宋体"/>
                <w:kern w:val="0"/>
                <w:szCs w:val="21"/>
              </w:rPr>
            </w:pPr>
            <w:r>
              <w:rPr>
                <w:rFonts w:hint="eastAsia" w:ascii="宋体" w:hAnsi="宋体" w:eastAsia="宋体" w:cs="宋体"/>
                <w:kern w:val="0"/>
                <w:szCs w:val="21"/>
              </w:rPr>
              <w:t>6. 尺寸：</w:t>
            </w:r>
            <w:r>
              <w:rPr>
                <w:rFonts w:ascii="宋体" w:hAnsi="宋体" w:eastAsia="宋体" w:cs="宋体"/>
                <w:kern w:val="0"/>
                <w:szCs w:val="21"/>
              </w:rPr>
              <w:t>442×840×530mm</w:t>
            </w:r>
          </w:p>
          <w:p w14:paraId="3782BDE9">
            <w:pPr>
              <w:widowControl/>
              <w:rPr>
                <w:rFonts w:hint="eastAsia" w:ascii="宋体" w:hAnsi="宋体" w:eastAsia="宋体" w:cs="宋体"/>
                <w:kern w:val="0"/>
                <w:szCs w:val="21"/>
              </w:rPr>
            </w:pPr>
            <w:r>
              <w:rPr>
                <w:rFonts w:hint="eastAsia" w:ascii="宋体" w:hAnsi="宋体" w:eastAsia="宋体" w:cs="宋体"/>
                <w:kern w:val="0"/>
                <w:szCs w:val="21"/>
              </w:rPr>
              <w:t>7. 风扇</w:t>
            </w:r>
            <w:r>
              <w:rPr>
                <w:rFonts w:ascii="宋体" w:hAnsi="宋体" w:eastAsia="宋体" w:cs="宋体"/>
                <w:kern w:val="0"/>
                <w:szCs w:val="21"/>
              </w:rPr>
              <w:t>:14个热插拔风扇模块,支持N+1冗余</w:t>
            </w:r>
          </w:p>
          <w:p w14:paraId="0E89D6B4">
            <w:pPr>
              <w:widowControl/>
              <w:rPr>
                <w:rFonts w:hint="eastAsia" w:ascii="宋体" w:hAnsi="宋体" w:eastAsia="宋体" w:cs="宋体"/>
                <w:kern w:val="0"/>
                <w:szCs w:val="21"/>
              </w:rPr>
            </w:pPr>
            <w:r>
              <w:rPr>
                <w:rFonts w:hint="eastAsia" w:ascii="宋体" w:hAnsi="宋体" w:eastAsia="宋体" w:cs="宋体"/>
                <w:kern w:val="0"/>
                <w:szCs w:val="21"/>
              </w:rPr>
              <w:t>8. 产品认证</w:t>
            </w:r>
            <w:r>
              <w:rPr>
                <w:rFonts w:ascii="宋体" w:hAnsi="宋体" w:eastAsia="宋体" w:cs="宋体"/>
                <w:kern w:val="0"/>
                <w:szCs w:val="21"/>
              </w:rPr>
              <w:t>:UL,CE,FCC,VCCI等</w:t>
            </w:r>
          </w:p>
          <w:p w14:paraId="1DEFE831">
            <w:pPr>
              <w:widowControl/>
              <w:rPr>
                <w:rFonts w:ascii="宋体" w:hAnsi="宋体" w:eastAsia="宋体" w:cs="宋体"/>
                <w:kern w:val="0"/>
                <w:szCs w:val="21"/>
              </w:rPr>
            </w:pPr>
            <w:r>
              <w:rPr>
                <w:rFonts w:hint="eastAsia" w:ascii="宋体" w:hAnsi="宋体" w:eastAsia="宋体" w:cs="宋体"/>
                <w:kern w:val="0"/>
                <w:szCs w:val="21"/>
              </w:rPr>
              <w:t>9. 电池：</w:t>
            </w:r>
            <w:r>
              <w:rPr>
                <w:rFonts w:ascii="宋体" w:hAnsi="宋体" w:eastAsia="宋体" w:cs="宋体"/>
                <w:kern w:val="0"/>
                <w:szCs w:val="21"/>
              </w:rPr>
              <w:t>110V/220V AC或-48V DC;6个3000W/2000W AC或6个2500W DC热插拔电源模块,支持N+N或N+M冗余配置</w:t>
            </w:r>
          </w:p>
        </w:tc>
        <w:tc>
          <w:tcPr>
            <w:tcW w:w="411" w:type="pct"/>
            <w:tcBorders>
              <w:top w:val="nil"/>
              <w:left w:val="nil"/>
              <w:bottom w:val="single" w:color="auto" w:sz="4" w:space="0"/>
              <w:right w:val="single" w:color="auto" w:sz="4" w:space="0"/>
            </w:tcBorders>
            <w:shd w:val="clear" w:color="auto" w:fill="auto"/>
            <w:vAlign w:val="center"/>
          </w:tcPr>
          <w:p w14:paraId="17AB50BB">
            <w:pPr>
              <w:widowControl/>
              <w:jc w:val="center"/>
              <w:rPr>
                <w:rFonts w:ascii="宋体" w:hAnsi="宋体" w:eastAsia="宋体" w:cs="宋体"/>
                <w:kern w:val="0"/>
                <w:szCs w:val="21"/>
              </w:rPr>
            </w:pPr>
            <w:r>
              <w:rPr>
                <w:rFonts w:hint="eastAsia" w:ascii="宋体" w:hAnsi="宋体" w:eastAsia="宋体" w:cs="宋体"/>
                <w:kern w:val="0"/>
                <w:szCs w:val="21"/>
              </w:rPr>
              <w:t>1</w:t>
            </w:r>
          </w:p>
        </w:tc>
        <w:tc>
          <w:tcPr>
            <w:tcW w:w="410" w:type="pct"/>
            <w:tcBorders>
              <w:top w:val="nil"/>
              <w:left w:val="nil"/>
              <w:bottom w:val="single" w:color="auto" w:sz="4" w:space="0"/>
              <w:right w:val="single" w:color="auto" w:sz="4" w:space="0"/>
            </w:tcBorders>
            <w:shd w:val="clear" w:color="auto" w:fill="auto"/>
            <w:vAlign w:val="center"/>
          </w:tcPr>
          <w:p w14:paraId="2244E0DD">
            <w:pPr>
              <w:widowControl/>
              <w:jc w:val="center"/>
              <w:rPr>
                <w:rFonts w:ascii="宋体" w:hAnsi="宋体" w:eastAsia="宋体" w:cs="宋体"/>
                <w:kern w:val="0"/>
                <w:szCs w:val="21"/>
              </w:rPr>
            </w:pPr>
            <w:r>
              <w:rPr>
                <w:rFonts w:hint="eastAsia" w:ascii="宋体" w:hAnsi="宋体" w:eastAsia="宋体" w:cs="宋体"/>
                <w:kern w:val="0"/>
                <w:szCs w:val="21"/>
              </w:rPr>
              <w:t>块</w:t>
            </w:r>
          </w:p>
        </w:tc>
        <w:tc>
          <w:tcPr>
            <w:tcW w:w="684" w:type="pct"/>
            <w:tcBorders>
              <w:top w:val="nil"/>
              <w:left w:val="single" w:color="auto" w:sz="4" w:space="0"/>
              <w:bottom w:val="single" w:color="000000" w:sz="4" w:space="0"/>
              <w:right w:val="single" w:color="auto" w:sz="4" w:space="0"/>
            </w:tcBorders>
            <w:shd w:val="clear" w:color="auto" w:fill="auto"/>
            <w:vAlign w:val="center"/>
          </w:tcPr>
          <w:p w14:paraId="47734A56">
            <w:pPr>
              <w:widowControl/>
              <w:jc w:val="center"/>
              <w:rPr>
                <w:rFonts w:ascii="宋体" w:hAnsi="宋体" w:eastAsia="宋体" w:cs="宋体"/>
                <w:kern w:val="0"/>
                <w:szCs w:val="21"/>
              </w:rPr>
            </w:pPr>
            <w:r>
              <w:rPr>
                <w:rFonts w:hint="eastAsia" w:ascii="宋体" w:hAnsi="宋体" w:eastAsia="宋体" w:cs="宋体"/>
                <w:kern w:val="0"/>
                <w:szCs w:val="21"/>
              </w:rPr>
              <w:t>信号检测、线路测试、板卡更新、业务恢复和并出具服务过程报告</w:t>
            </w:r>
          </w:p>
        </w:tc>
      </w:tr>
    </w:tbl>
    <w:p w14:paraId="6A78D589">
      <w:pPr>
        <w:pStyle w:val="2"/>
        <w:numPr>
          <w:ilvl w:val="0"/>
          <w:numId w:val="1"/>
        </w:numPr>
        <w:rPr>
          <w:sz w:val="28"/>
          <w:szCs w:val="28"/>
        </w:rPr>
      </w:pPr>
      <w:r>
        <w:rPr>
          <w:rFonts w:hint="eastAsia"/>
          <w:sz w:val="28"/>
          <w:szCs w:val="28"/>
        </w:rPr>
        <w:t>商务要求</w:t>
      </w:r>
    </w:p>
    <w:p w14:paraId="251A606B">
      <w:pPr>
        <w:numPr>
          <w:ilvl w:val="0"/>
          <w:numId w:val="2"/>
        </w:numPr>
        <w:spacing w:line="360" w:lineRule="auto"/>
        <w:ind w:firstLine="0"/>
        <w:rPr>
          <w:rFonts w:ascii="宋体" w:hAnsi="宋体" w:eastAsia="宋体"/>
          <w:sz w:val="24"/>
        </w:rPr>
      </w:pPr>
      <w:r>
        <w:rPr>
          <w:rFonts w:hint="eastAsia" w:ascii="宋体" w:hAnsi="宋体" w:eastAsia="宋体"/>
          <w:sz w:val="24"/>
        </w:rPr>
        <w:t>供应</w:t>
      </w:r>
      <w:r>
        <w:rPr>
          <w:rFonts w:ascii="宋体" w:hAnsi="宋体" w:eastAsia="宋体"/>
          <w:sz w:val="24"/>
        </w:rPr>
        <w:t>商</w:t>
      </w:r>
      <w:r>
        <w:rPr>
          <w:rFonts w:hint="eastAsia" w:ascii="宋体" w:hAnsi="宋体" w:eastAsia="宋体"/>
          <w:sz w:val="24"/>
        </w:rPr>
        <w:t>资格与条件</w:t>
      </w:r>
    </w:p>
    <w:p w14:paraId="7FF1A20A">
      <w:pPr>
        <w:spacing w:line="360" w:lineRule="auto"/>
        <w:ind w:firstLine="480" w:firstLineChars="200"/>
        <w:rPr>
          <w:rFonts w:ascii="宋体" w:hAnsi="宋体" w:eastAsia="宋体"/>
          <w:sz w:val="24"/>
        </w:rPr>
      </w:pPr>
      <w:r>
        <w:rPr>
          <w:rFonts w:hint="eastAsia" w:ascii="宋体" w:hAnsi="宋体" w:eastAsia="宋体"/>
          <w:sz w:val="24"/>
        </w:rPr>
        <w:t>《中华人民共和国政府采购法》第二十二条规定供应商参加政府采购活动应当具备下列条件：</w:t>
      </w:r>
    </w:p>
    <w:p w14:paraId="73E24A2C">
      <w:pPr>
        <w:spacing w:line="360" w:lineRule="auto"/>
        <w:rPr>
          <w:rFonts w:ascii="宋体" w:hAnsi="宋体" w:eastAsia="宋体"/>
          <w:sz w:val="24"/>
        </w:rPr>
      </w:pPr>
      <w:r>
        <w:rPr>
          <w:rFonts w:hint="eastAsia" w:ascii="宋体" w:hAnsi="宋体" w:eastAsia="宋体"/>
          <w:sz w:val="24"/>
        </w:rPr>
        <w:t>1.</w:t>
      </w:r>
      <w:r>
        <w:rPr>
          <w:rFonts w:hint="eastAsia" w:ascii="宋体" w:hAnsi="宋体" w:eastAsia="宋体"/>
          <w:sz w:val="24"/>
        </w:rPr>
        <w:tab/>
      </w:r>
      <w:r>
        <w:rPr>
          <w:rFonts w:hint="eastAsia" w:ascii="宋体" w:hAnsi="宋体" w:eastAsia="宋体"/>
          <w:sz w:val="24"/>
        </w:rPr>
        <w:t>具有独立承担民事责任的能力；</w:t>
      </w:r>
    </w:p>
    <w:p w14:paraId="4B447398">
      <w:pPr>
        <w:spacing w:line="360" w:lineRule="auto"/>
        <w:rPr>
          <w:rFonts w:ascii="宋体" w:hAnsi="宋体" w:eastAsia="宋体"/>
          <w:sz w:val="24"/>
        </w:rPr>
      </w:pPr>
      <w:r>
        <w:rPr>
          <w:rFonts w:hint="eastAsia" w:ascii="宋体" w:hAnsi="宋体" w:eastAsia="宋体"/>
          <w:sz w:val="24"/>
        </w:rPr>
        <w:t>2.</w:t>
      </w:r>
      <w:r>
        <w:rPr>
          <w:rFonts w:hint="eastAsia" w:ascii="宋体" w:hAnsi="宋体" w:eastAsia="宋体"/>
          <w:sz w:val="24"/>
        </w:rPr>
        <w:tab/>
      </w:r>
      <w:r>
        <w:rPr>
          <w:rFonts w:hint="eastAsia" w:ascii="宋体" w:hAnsi="宋体" w:eastAsia="宋体"/>
          <w:sz w:val="24"/>
        </w:rPr>
        <w:t>具有良好的商业信誉和健全的财务会计制度；</w:t>
      </w:r>
    </w:p>
    <w:p w14:paraId="1C136091">
      <w:pPr>
        <w:spacing w:line="360" w:lineRule="auto"/>
        <w:rPr>
          <w:rFonts w:ascii="宋体" w:hAnsi="宋体" w:eastAsia="宋体"/>
          <w:sz w:val="24"/>
        </w:rPr>
      </w:pPr>
      <w:r>
        <w:rPr>
          <w:rFonts w:hint="eastAsia" w:ascii="宋体" w:hAnsi="宋体" w:eastAsia="宋体"/>
          <w:sz w:val="24"/>
        </w:rPr>
        <w:t>3.</w:t>
      </w:r>
      <w:r>
        <w:rPr>
          <w:rFonts w:hint="eastAsia" w:ascii="宋体" w:hAnsi="宋体" w:eastAsia="宋体"/>
          <w:sz w:val="24"/>
        </w:rPr>
        <w:tab/>
      </w:r>
      <w:r>
        <w:rPr>
          <w:rFonts w:hint="eastAsia" w:ascii="宋体" w:hAnsi="宋体" w:eastAsia="宋体"/>
          <w:sz w:val="24"/>
        </w:rPr>
        <w:t>具有履行合同所必需的设备和专业技术能力；</w:t>
      </w:r>
    </w:p>
    <w:p w14:paraId="2E6C660E">
      <w:pPr>
        <w:spacing w:line="360" w:lineRule="auto"/>
        <w:rPr>
          <w:rFonts w:ascii="宋体" w:hAnsi="宋体" w:eastAsia="宋体"/>
          <w:sz w:val="24"/>
        </w:rPr>
      </w:pPr>
      <w:r>
        <w:rPr>
          <w:rFonts w:hint="eastAsia" w:ascii="宋体" w:hAnsi="宋体" w:eastAsia="宋体"/>
          <w:sz w:val="24"/>
        </w:rPr>
        <w:t>4.</w:t>
      </w:r>
      <w:r>
        <w:rPr>
          <w:rFonts w:hint="eastAsia" w:ascii="宋体" w:hAnsi="宋体" w:eastAsia="宋体"/>
          <w:sz w:val="24"/>
        </w:rPr>
        <w:tab/>
      </w:r>
      <w:r>
        <w:rPr>
          <w:rFonts w:hint="eastAsia" w:ascii="宋体" w:hAnsi="宋体" w:eastAsia="宋体"/>
          <w:sz w:val="24"/>
        </w:rPr>
        <w:t>有依法缴纳税收和社会保障资金的良好记录；</w:t>
      </w:r>
    </w:p>
    <w:p w14:paraId="0F93F697">
      <w:pPr>
        <w:spacing w:line="360" w:lineRule="auto"/>
        <w:rPr>
          <w:rFonts w:ascii="宋体" w:hAnsi="宋体" w:eastAsia="宋体"/>
          <w:sz w:val="24"/>
        </w:rPr>
      </w:pPr>
      <w:r>
        <w:rPr>
          <w:rFonts w:hint="eastAsia" w:ascii="宋体" w:hAnsi="宋体" w:eastAsia="宋体"/>
          <w:sz w:val="24"/>
        </w:rPr>
        <w:t>5.</w:t>
      </w:r>
      <w:r>
        <w:rPr>
          <w:rFonts w:hint="eastAsia" w:ascii="宋体" w:hAnsi="宋体" w:eastAsia="宋体"/>
          <w:sz w:val="24"/>
        </w:rPr>
        <w:tab/>
      </w:r>
      <w:r>
        <w:rPr>
          <w:rFonts w:hint="eastAsia" w:ascii="宋体" w:hAnsi="宋体" w:eastAsia="宋体"/>
          <w:sz w:val="24"/>
        </w:rPr>
        <w:t>参加政府采购活动前三年内，在经营活动中没有重大违法记录；</w:t>
      </w:r>
    </w:p>
    <w:p w14:paraId="3A67A79E">
      <w:pPr>
        <w:spacing w:line="360" w:lineRule="auto"/>
        <w:rPr>
          <w:rFonts w:ascii="宋体" w:hAnsi="宋体" w:eastAsia="宋体"/>
          <w:sz w:val="24"/>
        </w:rPr>
      </w:pPr>
      <w:r>
        <w:rPr>
          <w:rFonts w:hint="eastAsia" w:ascii="宋体" w:hAnsi="宋体" w:eastAsia="宋体"/>
          <w:sz w:val="24"/>
        </w:rPr>
        <w:t>6.</w:t>
      </w:r>
      <w:r>
        <w:rPr>
          <w:rFonts w:hint="eastAsia" w:ascii="宋体" w:hAnsi="宋体" w:eastAsia="宋体"/>
          <w:sz w:val="24"/>
        </w:rPr>
        <w:tab/>
      </w:r>
      <w:r>
        <w:rPr>
          <w:rFonts w:hint="eastAsia" w:ascii="宋体" w:hAnsi="宋体" w:eastAsia="宋体"/>
          <w:sz w:val="24"/>
        </w:rPr>
        <w:t>法律、行政法规规定的其他条件。采购人可以根据采购项目的特殊要求，规定供应商的特定条件，但不得以不合理的条件对供应商实行差别待遇或者歧视待遇。</w:t>
      </w:r>
    </w:p>
    <w:p w14:paraId="35962B0C">
      <w:pPr>
        <w:numPr>
          <w:ilvl w:val="0"/>
          <w:numId w:val="2"/>
        </w:numPr>
        <w:spacing w:line="360" w:lineRule="auto"/>
        <w:ind w:firstLine="0"/>
        <w:rPr>
          <w:rFonts w:ascii="宋体" w:hAnsi="宋体" w:eastAsia="宋体"/>
          <w:sz w:val="24"/>
        </w:rPr>
      </w:pPr>
      <w:r>
        <w:rPr>
          <w:rFonts w:hint="eastAsia" w:ascii="宋体" w:hAnsi="宋体" w:eastAsia="宋体"/>
          <w:sz w:val="24"/>
        </w:rPr>
        <w:t>服务期限：合同签订后</w:t>
      </w:r>
      <w:r>
        <w:rPr>
          <w:rFonts w:hint="eastAsia" w:ascii="宋体" w:hAnsi="宋体" w:eastAsia="宋体"/>
          <w:sz w:val="24"/>
          <w:u w:val="single"/>
        </w:rPr>
        <w:t xml:space="preserve"> 2 </w:t>
      </w:r>
      <w:r>
        <w:rPr>
          <w:rFonts w:hint="eastAsia" w:ascii="宋体" w:hAnsi="宋体" w:eastAsia="宋体"/>
          <w:sz w:val="24"/>
        </w:rPr>
        <w:t>个工作日内完成应用的部署交付，服务期为验收后免费提供一年服务。</w:t>
      </w:r>
    </w:p>
    <w:p w14:paraId="2DFED83E">
      <w:pPr>
        <w:numPr>
          <w:ilvl w:val="0"/>
          <w:numId w:val="2"/>
        </w:numPr>
        <w:spacing w:line="360" w:lineRule="auto"/>
        <w:ind w:firstLine="0"/>
        <w:rPr>
          <w:rFonts w:ascii="宋体" w:hAnsi="宋体" w:eastAsia="宋体"/>
          <w:sz w:val="24"/>
        </w:rPr>
      </w:pPr>
      <w:r>
        <w:rPr>
          <w:rFonts w:hint="eastAsia" w:ascii="宋体" w:hAnsi="宋体" w:eastAsia="宋体"/>
          <w:sz w:val="24"/>
        </w:rPr>
        <w:t>预算金额:1.168</w:t>
      </w:r>
      <w:r>
        <w:rPr>
          <w:rFonts w:hint="eastAsia" w:ascii="宋体" w:hAnsi="宋体" w:eastAsia="宋体"/>
          <w:sz w:val="24"/>
          <w:lang w:val="en-US" w:eastAsia="zh-CN"/>
        </w:rPr>
        <w:t>2</w:t>
      </w:r>
      <w:bookmarkStart w:id="3" w:name="_GoBack"/>
      <w:bookmarkEnd w:id="3"/>
      <w:r>
        <w:rPr>
          <w:rFonts w:hint="eastAsia" w:ascii="宋体" w:hAnsi="宋体" w:eastAsia="宋体"/>
          <w:sz w:val="24"/>
        </w:rPr>
        <w:t>万元</w:t>
      </w:r>
    </w:p>
    <w:p w14:paraId="5CFE2C3F">
      <w:pPr>
        <w:numPr>
          <w:ilvl w:val="0"/>
          <w:numId w:val="2"/>
        </w:numPr>
        <w:spacing w:line="360" w:lineRule="auto"/>
        <w:ind w:firstLine="0"/>
        <w:rPr>
          <w:rFonts w:ascii="宋体" w:hAnsi="宋体" w:eastAsia="宋体"/>
          <w:sz w:val="24"/>
        </w:rPr>
      </w:pPr>
      <w:r>
        <w:rPr>
          <w:rFonts w:hint="eastAsia" w:ascii="宋体" w:hAnsi="宋体" w:eastAsia="宋体"/>
          <w:sz w:val="24"/>
        </w:rPr>
        <w:t>建设地点：采购人指定地点。</w:t>
      </w:r>
    </w:p>
    <w:p w14:paraId="1DF45244">
      <w:pPr>
        <w:numPr>
          <w:ilvl w:val="0"/>
          <w:numId w:val="2"/>
        </w:numPr>
        <w:spacing w:line="360" w:lineRule="auto"/>
        <w:ind w:firstLine="0"/>
        <w:rPr>
          <w:rFonts w:ascii="宋体" w:hAnsi="宋体" w:eastAsia="宋体"/>
          <w:sz w:val="24"/>
        </w:rPr>
      </w:pPr>
      <w:r>
        <w:rPr>
          <w:rFonts w:hint="eastAsia" w:ascii="宋体" w:hAnsi="宋体" w:eastAsia="宋体"/>
          <w:sz w:val="24"/>
        </w:rPr>
        <w:t>交付状态：安装、调试、试运行、验收合格后交付。</w:t>
      </w:r>
    </w:p>
    <w:p w14:paraId="4104CB54">
      <w:pPr>
        <w:numPr>
          <w:ilvl w:val="0"/>
          <w:numId w:val="2"/>
        </w:numPr>
        <w:spacing w:line="360" w:lineRule="auto"/>
        <w:ind w:firstLine="0"/>
        <w:rPr>
          <w:rFonts w:ascii="宋体" w:hAnsi="宋体" w:eastAsia="宋体"/>
          <w:sz w:val="24"/>
        </w:rPr>
      </w:pPr>
      <w:r>
        <w:rPr>
          <w:rFonts w:hint="eastAsia" w:ascii="宋体" w:hAnsi="宋体" w:eastAsia="宋体"/>
          <w:sz w:val="24"/>
        </w:rPr>
        <w:t>服务要求：</w:t>
      </w:r>
    </w:p>
    <w:p w14:paraId="3BEB590F">
      <w:pPr>
        <w:spacing w:line="360" w:lineRule="auto"/>
        <w:ind w:firstLine="480" w:firstLineChars="200"/>
        <w:rPr>
          <w:rFonts w:ascii="宋体" w:hAnsi="宋体" w:eastAsia="宋体"/>
          <w:sz w:val="24"/>
        </w:rPr>
      </w:pPr>
      <w:r>
        <w:rPr>
          <w:rFonts w:ascii="宋体" w:hAnsi="宋体" w:eastAsia="宋体"/>
          <w:sz w:val="24"/>
        </w:rPr>
        <w:t>1.</w:t>
      </w:r>
      <w:r>
        <w:rPr>
          <w:rFonts w:hint="eastAsia" w:ascii="宋体" w:hAnsi="宋体" w:eastAsia="宋体"/>
          <w:sz w:val="24"/>
        </w:rPr>
        <w:t>供应</w:t>
      </w:r>
      <w:r>
        <w:rPr>
          <w:rFonts w:ascii="宋体" w:hAnsi="宋体" w:eastAsia="宋体"/>
          <w:sz w:val="24"/>
        </w:rPr>
        <w:t>商提供7*24小时响应服务，提供现场技术支持故障诊断、问题处理、配件更换（设备在保期内）以及软件升级等现场服务。</w:t>
      </w:r>
    </w:p>
    <w:p w14:paraId="4EC47B66">
      <w:pPr>
        <w:spacing w:line="360" w:lineRule="auto"/>
        <w:ind w:firstLine="480" w:firstLineChars="200"/>
        <w:rPr>
          <w:rFonts w:ascii="宋体" w:hAnsi="宋体" w:eastAsia="宋体"/>
          <w:sz w:val="24"/>
        </w:rPr>
      </w:pPr>
      <w:r>
        <w:rPr>
          <w:rFonts w:ascii="宋体" w:hAnsi="宋体" w:eastAsia="宋体"/>
          <w:sz w:val="24"/>
        </w:rPr>
        <w:t xml:space="preserve">2. </w:t>
      </w:r>
      <w:r>
        <w:rPr>
          <w:rFonts w:hint="eastAsia" w:ascii="宋体" w:hAnsi="宋体" w:eastAsia="宋体"/>
          <w:sz w:val="24"/>
        </w:rPr>
        <w:t>供应</w:t>
      </w:r>
      <w:r>
        <w:rPr>
          <w:rFonts w:ascii="宋体" w:hAnsi="宋体" w:eastAsia="宋体"/>
          <w:sz w:val="24"/>
        </w:rPr>
        <w:t>商在安装、调测验收和提供服务期间应采取严格的安全措施，承担由于自身原因所造成的安全事故责任及其发生的一切费用。</w:t>
      </w:r>
    </w:p>
    <w:p w14:paraId="56680688">
      <w:pPr>
        <w:pStyle w:val="2"/>
        <w:numPr>
          <w:ilvl w:val="0"/>
          <w:numId w:val="1"/>
        </w:numPr>
        <w:rPr>
          <w:sz w:val="28"/>
          <w:szCs w:val="28"/>
        </w:rPr>
      </w:pPr>
      <w:r>
        <w:rPr>
          <w:rFonts w:hint="eastAsia"/>
          <w:sz w:val="28"/>
          <w:szCs w:val="28"/>
        </w:rPr>
        <w:t>实施要求</w:t>
      </w:r>
    </w:p>
    <w:p w14:paraId="52F2A22E">
      <w:pPr>
        <w:numPr>
          <w:ilvl w:val="0"/>
          <w:numId w:val="3"/>
        </w:numPr>
        <w:spacing w:line="360" w:lineRule="auto"/>
        <w:rPr>
          <w:rFonts w:ascii="宋体" w:hAnsi="宋体" w:eastAsia="宋体"/>
          <w:sz w:val="24"/>
        </w:rPr>
      </w:pPr>
      <w:r>
        <w:rPr>
          <w:rFonts w:hint="eastAsia" w:ascii="宋体" w:hAnsi="宋体" w:eastAsia="宋体"/>
          <w:sz w:val="24"/>
        </w:rPr>
        <w:t>供应</w:t>
      </w:r>
      <w:r>
        <w:rPr>
          <w:rFonts w:ascii="宋体" w:hAnsi="宋体" w:eastAsia="宋体"/>
          <w:sz w:val="24"/>
        </w:rPr>
        <w:t>商</w:t>
      </w:r>
      <w:r>
        <w:rPr>
          <w:rFonts w:hint="eastAsia" w:ascii="宋体" w:hAnsi="宋体" w:eastAsia="宋体"/>
          <w:sz w:val="24"/>
        </w:rPr>
        <w:t>所提供的系统集成服务中，涉及到安装与调试的，应提供对应的操作培训和技术支持。</w:t>
      </w:r>
    </w:p>
    <w:p w14:paraId="4144AC2E">
      <w:pPr>
        <w:numPr>
          <w:ilvl w:val="0"/>
          <w:numId w:val="3"/>
        </w:numPr>
        <w:spacing w:line="360" w:lineRule="auto"/>
        <w:rPr>
          <w:rFonts w:ascii="宋体" w:hAnsi="宋体" w:eastAsia="宋体"/>
          <w:sz w:val="24"/>
        </w:rPr>
      </w:pPr>
      <w:r>
        <w:rPr>
          <w:rFonts w:hint="eastAsia" w:ascii="宋体" w:hAnsi="宋体" w:eastAsia="宋体"/>
          <w:sz w:val="24"/>
        </w:rPr>
        <w:t>系统集成服务中所涉及到的服务，供应</w:t>
      </w:r>
      <w:r>
        <w:rPr>
          <w:rFonts w:ascii="宋体" w:hAnsi="宋体" w:eastAsia="宋体"/>
          <w:sz w:val="24"/>
        </w:rPr>
        <w:t>商</w:t>
      </w:r>
      <w:r>
        <w:rPr>
          <w:rFonts w:hint="eastAsia" w:ascii="宋体" w:hAnsi="宋体" w:eastAsia="宋体"/>
          <w:sz w:val="24"/>
        </w:rPr>
        <w:t>承诺提供质保服务；系统功能并完全符合采购文件规定的质量、规格要求。</w:t>
      </w:r>
    </w:p>
    <w:p w14:paraId="028E4904">
      <w:pPr>
        <w:numPr>
          <w:ilvl w:val="0"/>
          <w:numId w:val="3"/>
        </w:numPr>
        <w:spacing w:line="360" w:lineRule="auto"/>
        <w:rPr>
          <w:rFonts w:ascii="宋体" w:hAnsi="宋体" w:eastAsia="宋体"/>
          <w:sz w:val="24"/>
        </w:rPr>
      </w:pPr>
      <w:r>
        <w:rPr>
          <w:rFonts w:hint="eastAsia" w:ascii="宋体" w:hAnsi="宋体" w:eastAsia="宋体"/>
          <w:sz w:val="24"/>
        </w:rPr>
        <w:t>供应</w:t>
      </w:r>
      <w:r>
        <w:rPr>
          <w:rFonts w:ascii="宋体" w:hAnsi="宋体" w:eastAsia="宋体"/>
          <w:sz w:val="24"/>
        </w:rPr>
        <w:t>商</w:t>
      </w:r>
      <w:r>
        <w:rPr>
          <w:rFonts w:hint="eastAsia" w:ascii="宋体" w:hAnsi="宋体" w:eastAsia="宋体"/>
          <w:sz w:val="24"/>
        </w:rPr>
        <w:t>应向采购人提供招标文件要求及合同中的相关条款进行数量及质量的验收，并提供验收文档。</w:t>
      </w:r>
    </w:p>
    <w:p w14:paraId="2793CBF0">
      <w:pPr>
        <w:numPr>
          <w:ilvl w:val="0"/>
          <w:numId w:val="3"/>
        </w:numPr>
        <w:spacing w:line="360" w:lineRule="auto"/>
        <w:rPr>
          <w:rFonts w:ascii="宋体" w:hAnsi="宋体" w:eastAsia="宋体"/>
          <w:sz w:val="24"/>
        </w:rPr>
      </w:pPr>
      <w:r>
        <w:rPr>
          <w:rFonts w:hint="eastAsia" w:ascii="宋体" w:hAnsi="宋体" w:eastAsia="宋体"/>
          <w:sz w:val="24"/>
        </w:rPr>
        <w:t>供应</w:t>
      </w:r>
      <w:r>
        <w:rPr>
          <w:rFonts w:ascii="宋体" w:hAnsi="宋体" w:eastAsia="宋体"/>
          <w:sz w:val="24"/>
        </w:rPr>
        <w:t>商</w:t>
      </w:r>
      <w:r>
        <w:rPr>
          <w:rFonts w:hint="eastAsia" w:ascii="宋体" w:hAnsi="宋体" w:eastAsia="宋体"/>
          <w:sz w:val="24"/>
        </w:rPr>
        <w:t>在采购程序中及采购完成后，发生侵犯专利权的行为时，其侵权责任与采购人无关，应由供应</w:t>
      </w:r>
      <w:r>
        <w:rPr>
          <w:rFonts w:ascii="宋体" w:hAnsi="宋体" w:eastAsia="宋体"/>
          <w:sz w:val="24"/>
        </w:rPr>
        <w:t>商</w:t>
      </w:r>
      <w:r>
        <w:rPr>
          <w:rFonts w:hint="eastAsia" w:ascii="宋体" w:hAnsi="宋体" w:eastAsia="宋体"/>
          <w:sz w:val="24"/>
        </w:rPr>
        <w:t>承担相应的责任，并不得影响采购人的利益。</w:t>
      </w:r>
    </w:p>
    <w:p w14:paraId="14F485F7">
      <w:pPr>
        <w:numPr>
          <w:ilvl w:val="0"/>
          <w:numId w:val="3"/>
        </w:numPr>
        <w:spacing w:line="360" w:lineRule="auto"/>
        <w:rPr>
          <w:rFonts w:ascii="宋体" w:hAnsi="宋体" w:eastAsia="宋体"/>
          <w:sz w:val="24"/>
        </w:rPr>
      </w:pPr>
      <w:r>
        <w:rPr>
          <w:rFonts w:hint="eastAsia" w:ascii="宋体" w:hAnsi="宋体" w:eastAsia="宋体"/>
          <w:sz w:val="24"/>
        </w:rPr>
        <w:t>供应</w:t>
      </w:r>
      <w:r>
        <w:rPr>
          <w:rFonts w:ascii="宋体" w:hAnsi="宋体" w:eastAsia="宋体"/>
          <w:sz w:val="24"/>
        </w:rPr>
        <w:t>商</w:t>
      </w:r>
      <w:r>
        <w:rPr>
          <w:rFonts w:hint="eastAsia" w:ascii="宋体" w:hAnsi="宋体" w:eastAsia="宋体"/>
          <w:sz w:val="24"/>
        </w:rPr>
        <w:t>必须确保本项目所涉及的各项功能、服务均为合法获得，不侵犯第三人知识产权及其他合法权益，否则因此而可能引发的相关法律责任，由供应</w:t>
      </w:r>
      <w:r>
        <w:rPr>
          <w:rFonts w:ascii="宋体" w:hAnsi="宋体" w:eastAsia="宋体"/>
          <w:sz w:val="24"/>
        </w:rPr>
        <w:t>商</w:t>
      </w:r>
      <w:r>
        <w:rPr>
          <w:rFonts w:hint="eastAsia" w:ascii="宋体" w:hAnsi="宋体" w:eastAsia="宋体"/>
          <w:sz w:val="24"/>
        </w:rPr>
        <w:t>自行承担。</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Arial">
    <w:panose1 w:val="020B0604020202020204"/>
    <w:charset w:val="00"/>
    <w:family w:val="swiss"/>
    <w:pitch w:val="default"/>
    <w:sig w:usb0="E0002EFF" w:usb1="C000785B" w:usb2="00000009" w:usb3="00000000" w:csb0="400001FF" w:csb1="FFFF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145894D"/>
    <w:multiLevelType w:val="singleLevel"/>
    <w:tmpl w:val="2145894D"/>
    <w:lvl w:ilvl="0" w:tentative="0">
      <w:start w:val="1"/>
      <w:numFmt w:val="chineseCounting"/>
      <w:suff w:val="nothing"/>
      <w:lvlText w:val="（%1）"/>
      <w:lvlJc w:val="left"/>
      <w:pPr>
        <w:ind w:left="0" w:firstLine="420"/>
      </w:pPr>
      <w:rPr>
        <w:rFonts w:hint="eastAsia"/>
      </w:rPr>
    </w:lvl>
  </w:abstractNum>
  <w:abstractNum w:abstractNumId="1">
    <w:nsid w:val="49F20C6A"/>
    <w:multiLevelType w:val="multilevel"/>
    <w:tmpl w:val="49F20C6A"/>
    <w:lvl w:ilvl="0" w:tentative="0">
      <w:start w:val="1"/>
      <w:numFmt w:val="chineseCountingThousand"/>
      <w:lvlText w:val="%1、"/>
      <w:lvlJc w:val="left"/>
      <w:pPr>
        <w:ind w:left="440" w:hanging="440"/>
      </w:p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
    <w:nsid w:val="7B274ADA"/>
    <w:multiLevelType w:val="singleLevel"/>
    <w:tmpl w:val="7B274ADA"/>
    <w:lvl w:ilvl="0" w:tentative="0">
      <w:start w:val="1"/>
      <w:numFmt w:val="chineseCounting"/>
      <w:suff w:val="nothing"/>
      <w:lvlText w:val="（%1）"/>
      <w:lvlJc w:val="left"/>
      <w:pPr>
        <w:ind w:left="0" w:firstLine="420"/>
      </w:pPr>
      <w:rPr>
        <w:rFonts w:hint="eastAsia"/>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2996"/>
    <w:rsid w:val="0001682A"/>
    <w:rsid w:val="0003026D"/>
    <w:rsid w:val="00052996"/>
    <w:rsid w:val="0006609C"/>
    <w:rsid w:val="00070A32"/>
    <w:rsid w:val="000A7B82"/>
    <w:rsid w:val="001B4008"/>
    <w:rsid w:val="001C4CBD"/>
    <w:rsid w:val="001E7CEC"/>
    <w:rsid w:val="001F3C48"/>
    <w:rsid w:val="0022022F"/>
    <w:rsid w:val="00290644"/>
    <w:rsid w:val="00342F12"/>
    <w:rsid w:val="00362EF1"/>
    <w:rsid w:val="00437A76"/>
    <w:rsid w:val="004645B1"/>
    <w:rsid w:val="004C0E89"/>
    <w:rsid w:val="004F7C4F"/>
    <w:rsid w:val="00556385"/>
    <w:rsid w:val="00557ED9"/>
    <w:rsid w:val="005658C9"/>
    <w:rsid w:val="00586630"/>
    <w:rsid w:val="005902A7"/>
    <w:rsid w:val="0060694D"/>
    <w:rsid w:val="0062701A"/>
    <w:rsid w:val="006418D6"/>
    <w:rsid w:val="006542E1"/>
    <w:rsid w:val="0066245A"/>
    <w:rsid w:val="006D6610"/>
    <w:rsid w:val="006E473C"/>
    <w:rsid w:val="006F3C9D"/>
    <w:rsid w:val="006F46D4"/>
    <w:rsid w:val="00707079"/>
    <w:rsid w:val="00735ED2"/>
    <w:rsid w:val="00752976"/>
    <w:rsid w:val="0076504C"/>
    <w:rsid w:val="007722EE"/>
    <w:rsid w:val="00797A51"/>
    <w:rsid w:val="007B28F2"/>
    <w:rsid w:val="007B3226"/>
    <w:rsid w:val="007D399D"/>
    <w:rsid w:val="00824558"/>
    <w:rsid w:val="00862C57"/>
    <w:rsid w:val="00866788"/>
    <w:rsid w:val="00885861"/>
    <w:rsid w:val="00886CB1"/>
    <w:rsid w:val="008B4CA2"/>
    <w:rsid w:val="00931AFF"/>
    <w:rsid w:val="00947D8B"/>
    <w:rsid w:val="00A7230B"/>
    <w:rsid w:val="00A829CB"/>
    <w:rsid w:val="00AA09E8"/>
    <w:rsid w:val="00AF39ED"/>
    <w:rsid w:val="00B32A94"/>
    <w:rsid w:val="00B4321A"/>
    <w:rsid w:val="00B5149A"/>
    <w:rsid w:val="00B53971"/>
    <w:rsid w:val="00B60F60"/>
    <w:rsid w:val="00B91E9E"/>
    <w:rsid w:val="00BE0DAD"/>
    <w:rsid w:val="00BF3003"/>
    <w:rsid w:val="00C20E7E"/>
    <w:rsid w:val="00C7371D"/>
    <w:rsid w:val="00C76193"/>
    <w:rsid w:val="00C80AD3"/>
    <w:rsid w:val="00C95D28"/>
    <w:rsid w:val="00CD3AF4"/>
    <w:rsid w:val="00D57929"/>
    <w:rsid w:val="00DE42D5"/>
    <w:rsid w:val="00E14F66"/>
    <w:rsid w:val="00E25F01"/>
    <w:rsid w:val="00E443BE"/>
    <w:rsid w:val="00E871DB"/>
    <w:rsid w:val="00E961B6"/>
    <w:rsid w:val="00EB0482"/>
    <w:rsid w:val="00F7398F"/>
    <w:rsid w:val="00FD6602"/>
    <w:rsid w:val="033137D6"/>
    <w:rsid w:val="17182E6F"/>
    <w:rsid w:val="24FD59A4"/>
    <w:rsid w:val="2CFC64B1"/>
    <w:rsid w:val="36855960"/>
    <w:rsid w:val="36D51976"/>
    <w:rsid w:val="493D5B96"/>
    <w:rsid w:val="562E4EF1"/>
    <w:rsid w:val="5F9F7EA3"/>
    <w:rsid w:val="64E1790F"/>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link w:val="11"/>
    <w:qFormat/>
    <w:uiPriority w:val="0"/>
    <w:pPr>
      <w:keepNext/>
      <w:keepLines/>
      <w:spacing w:before="340" w:after="330" w:line="576" w:lineRule="auto"/>
      <w:outlineLvl w:val="0"/>
    </w:pPr>
    <w:rPr>
      <w:b/>
      <w:kern w:val="44"/>
      <w:sz w:val="44"/>
    </w:rPr>
  </w:style>
  <w:style w:type="paragraph" w:styleId="3">
    <w:name w:val="heading 2"/>
    <w:basedOn w:val="1"/>
    <w:next w:val="1"/>
    <w:unhideWhenUsed/>
    <w:qFormat/>
    <w:uiPriority w:val="0"/>
    <w:pPr>
      <w:keepNext/>
      <w:keepLines/>
      <w:spacing w:before="260" w:after="260" w:line="413" w:lineRule="auto"/>
      <w:outlineLvl w:val="1"/>
    </w:pPr>
    <w:rPr>
      <w:rFonts w:ascii="Arial" w:hAnsi="Arial" w:eastAsia="黑体"/>
      <w:b/>
      <w:sz w:val="32"/>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paragraph" w:styleId="5">
    <w:name w:val="heading 4"/>
    <w:basedOn w:val="1"/>
    <w:next w:val="1"/>
    <w:unhideWhenUsed/>
    <w:qFormat/>
    <w:uiPriority w:val="0"/>
    <w:pPr>
      <w:keepNext/>
      <w:keepLines/>
      <w:spacing w:before="280" w:after="290" w:line="372" w:lineRule="auto"/>
      <w:outlineLvl w:val="3"/>
    </w:pPr>
    <w:rPr>
      <w:rFonts w:ascii="Arial" w:hAnsi="Arial" w:eastAsia="黑体"/>
      <w:b/>
      <w:sz w:val="28"/>
    </w:rPr>
  </w:style>
  <w:style w:type="character" w:default="1" w:styleId="10">
    <w:name w:val="Default Paragraph Font"/>
    <w:semiHidden/>
    <w:unhideWhenUsed/>
    <w:uiPriority w:val="1"/>
  </w:style>
  <w:style w:type="table" w:default="1" w:styleId="9">
    <w:name w:val="Normal Table"/>
    <w:semiHidden/>
    <w:unhideWhenUsed/>
    <w:uiPriority w:val="99"/>
    <w:tblPr>
      <w:tblCellMar>
        <w:top w:w="0" w:type="dxa"/>
        <w:left w:w="108" w:type="dxa"/>
        <w:bottom w:w="0" w:type="dxa"/>
        <w:right w:w="108" w:type="dxa"/>
      </w:tblCellMar>
    </w:tblPr>
  </w:style>
  <w:style w:type="paragraph" w:styleId="6">
    <w:name w:val="footer"/>
    <w:basedOn w:val="1"/>
    <w:link w:val="16"/>
    <w:qFormat/>
    <w:uiPriority w:val="0"/>
    <w:pPr>
      <w:tabs>
        <w:tab w:val="center" w:pos="4153"/>
        <w:tab w:val="right" w:pos="8306"/>
      </w:tabs>
      <w:snapToGrid w:val="0"/>
      <w:jc w:val="left"/>
    </w:pPr>
    <w:rPr>
      <w:sz w:val="18"/>
    </w:rPr>
  </w:style>
  <w:style w:type="paragraph" w:styleId="7">
    <w:name w:val="header"/>
    <w:basedOn w:val="1"/>
    <w:link w:val="15"/>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8">
    <w:name w:val="Title"/>
    <w:basedOn w:val="1"/>
    <w:qFormat/>
    <w:uiPriority w:val="0"/>
    <w:pPr>
      <w:spacing w:before="240" w:after="60"/>
      <w:jc w:val="center"/>
      <w:outlineLvl w:val="0"/>
    </w:pPr>
    <w:rPr>
      <w:rFonts w:ascii="Arial" w:hAnsi="Arial"/>
      <w:b/>
      <w:sz w:val="32"/>
    </w:rPr>
  </w:style>
  <w:style w:type="character" w:customStyle="1" w:styleId="11">
    <w:name w:val="标题 1 Char"/>
    <w:link w:val="2"/>
    <w:qFormat/>
    <w:uiPriority w:val="9"/>
    <w:rPr>
      <w:b/>
      <w:kern w:val="44"/>
      <w:sz w:val="44"/>
    </w:rPr>
  </w:style>
  <w:style w:type="character" w:customStyle="1" w:styleId="12">
    <w:name w:val="标题 1 字符1"/>
    <w:qFormat/>
    <w:uiPriority w:val="0"/>
    <w:rPr>
      <w:rFonts w:ascii="Times New Roman" w:hAnsi="Times New Roman" w:eastAsia="宋体" w:cs="Times New Roman"/>
      <w:b/>
      <w:bCs/>
      <w:snapToGrid w:val="0"/>
      <w:kern w:val="0"/>
      <w:sz w:val="30"/>
      <w14:ligatures w14:val="none"/>
    </w:rPr>
  </w:style>
  <w:style w:type="paragraph" w:customStyle="1" w:styleId="13">
    <w:name w:val="标题模板"/>
    <w:basedOn w:val="2"/>
    <w:link w:val="14"/>
    <w:autoRedefine/>
    <w:qFormat/>
    <w:uiPriority w:val="0"/>
    <w:pPr>
      <w:tabs>
        <w:tab w:val="left" w:pos="720"/>
      </w:tabs>
      <w:ind w:left="720" w:hanging="720"/>
    </w:pPr>
    <w:rPr>
      <w:rFonts w:cs="宋体"/>
      <w:color w:val="000000"/>
      <w:szCs w:val="28"/>
    </w:rPr>
  </w:style>
  <w:style w:type="character" w:customStyle="1" w:styleId="14">
    <w:name w:val="标题模板 字符"/>
    <w:basedOn w:val="11"/>
    <w:link w:val="13"/>
    <w:qFormat/>
    <w:uiPriority w:val="0"/>
    <w:rPr>
      <w:rFonts w:ascii="宋体" w:hAnsi="宋体" w:eastAsia="宋体" w:cs="宋体"/>
      <w:color w:val="000000"/>
      <w:kern w:val="44"/>
      <w:sz w:val="32"/>
      <w:szCs w:val="28"/>
      <w14:ligatures w14:val="none"/>
    </w:rPr>
  </w:style>
  <w:style w:type="character" w:customStyle="1" w:styleId="15">
    <w:name w:val="页眉 Char"/>
    <w:link w:val="7"/>
    <w:qFormat/>
    <w:uiPriority w:val="99"/>
    <w:rPr>
      <w:sz w:val="18"/>
    </w:rPr>
  </w:style>
  <w:style w:type="character" w:customStyle="1" w:styleId="16">
    <w:name w:val="页脚 Char"/>
    <w:link w:val="6"/>
    <w:qFormat/>
    <w:uiPriority w:val="99"/>
    <w:rPr>
      <w:sz w:val="18"/>
    </w:rPr>
  </w:style>
  <w:style w:type="paragraph" w:styleId="17">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48149A-2406-44A1-BCBF-3D2814D35183}">
  <ds:schemaRefs/>
</ds:datastoreItem>
</file>

<file path=docProps/app.xml><?xml version="1.0" encoding="utf-8"?>
<Properties xmlns="http://schemas.openxmlformats.org/officeDocument/2006/extended-properties" xmlns:vt="http://schemas.openxmlformats.org/officeDocument/2006/docPropsVTypes">
  <Template>Normal.dotm</Template>
  <Company>信息中心</Company>
  <Pages>3</Pages>
  <Words>1313</Words>
  <Characters>1456</Characters>
  <Lines>10</Lines>
  <Paragraphs>3</Paragraphs>
  <TotalTime>171</TotalTime>
  <ScaleCrop>false</ScaleCrop>
  <LinksUpToDate>false</LinksUpToDate>
  <CharactersWithSpaces>1479</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2025-04-07T07:23:00Z</dcterms:created>
  <dc:creator>Administrator</dc:creator>
  <cp:lastModifiedBy>一帆</cp:lastModifiedBy>
  <dcterms:modified xsi:type="dcterms:W3CDTF">2025-12-12T02:28:13Z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eyJoZGlkIjoiNTJjZDVlYzkyZWQ0MzA0NTA5NjZkYmY3NDUwMDc0ODAiLCJ1c2VySWQiOiI0MDUzODYzMDIifQ==</vt:lpwstr>
  </property>
  <property fmtid="{D5CDD505-2E9C-101B-9397-08002B2CF9AE}" pid="3" name="KSOProductBuildVer">
    <vt:lpwstr>2052-12.1.0.24034</vt:lpwstr>
  </property>
  <property fmtid="{D5CDD505-2E9C-101B-9397-08002B2CF9AE}" pid="4" name="ICV">
    <vt:lpwstr>6065B1FEA3EA443FA1FB29E481F84843_13</vt:lpwstr>
  </property>
</Properties>
</file>