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07288B">
      <w:pPr>
        <w:spacing w:before="240" w:after="0" w:line="360" w:lineRule="auto"/>
        <w:jc w:val="center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3C290973">
      <w:pPr>
        <w:spacing w:before="0" w:after="200" w:line="360" w:lineRule="auto"/>
        <w:jc w:val="center"/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2026年CHS-DRG管理系统服务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要求</w:t>
      </w:r>
    </w:p>
    <w:p w14:paraId="03C2A7E6">
      <w:pPr>
        <w:spacing w:before="200" w:after="120" w:line="360" w:lineRule="auto"/>
        <w:jc w:val="lef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一</w:t>
      </w: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、　服务内容</w:t>
      </w:r>
    </w:p>
    <w:p w14:paraId="162733C3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要求服务方在服务期内持续提供下列服务，服务内容及频次不低于原服务期标准：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361"/>
        <w:gridCol w:w="4876"/>
        <w:gridCol w:w="1701"/>
      </w:tblGrid>
      <w:tr w14:paraId="16AE6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64631A66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361" w:type="dxa"/>
            <w:shd w:val="clear" w:color="auto" w:fill="D9D9D9"/>
            <w:vAlign w:val="center"/>
          </w:tcPr>
          <w:p w14:paraId="59A47CC5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服务项目</w:t>
            </w:r>
          </w:p>
        </w:tc>
        <w:tc>
          <w:tcPr>
            <w:tcW w:w="4876" w:type="dxa"/>
            <w:shd w:val="clear" w:color="auto" w:fill="D9D9D9"/>
            <w:vAlign w:val="center"/>
          </w:tcPr>
          <w:p w14:paraId="58D1C914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服务内容与要求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12F9BCC9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频次/响应</w:t>
            </w:r>
          </w:p>
        </w:tc>
      </w:tr>
      <w:tr w14:paraId="457F1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0177EBED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1</w:t>
            </w:r>
          </w:p>
        </w:tc>
        <w:tc>
          <w:tcPr>
            <w:tcW w:w="1361" w:type="dxa"/>
            <w:vAlign w:val="center"/>
          </w:tcPr>
          <w:p w14:paraId="619FE3C1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系统巡检</w:t>
            </w:r>
          </w:p>
        </w:tc>
        <w:tc>
          <w:tcPr>
            <w:tcW w:w="4876" w:type="dxa"/>
            <w:vAlign w:val="center"/>
          </w:tcPr>
          <w:p w14:paraId="581CD8F8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检查系统工作流、数据库表空间、页面运行情况，发现异常及时处理并出具巡检报告</w:t>
            </w:r>
          </w:p>
        </w:tc>
        <w:tc>
          <w:tcPr>
            <w:tcW w:w="1701" w:type="dxa"/>
            <w:vAlign w:val="center"/>
          </w:tcPr>
          <w:p w14:paraId="71C0E61B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每月不少于1次</w:t>
            </w:r>
          </w:p>
        </w:tc>
      </w:tr>
      <w:tr w14:paraId="17ECC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7DE6E8D9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2</w:t>
            </w:r>
          </w:p>
        </w:tc>
        <w:tc>
          <w:tcPr>
            <w:tcW w:w="1361" w:type="dxa"/>
            <w:vAlign w:val="center"/>
          </w:tcPr>
          <w:p w14:paraId="288D62D2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系统升级</w:t>
            </w:r>
          </w:p>
        </w:tc>
        <w:tc>
          <w:tcPr>
            <w:tcW w:w="4876" w:type="dxa"/>
            <w:vAlign w:val="center"/>
          </w:tcPr>
          <w:p w14:paraId="687B4DFB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系统功能迭代升级、本院个性化需求（院内政策调整、科室合并等）适配</w:t>
            </w:r>
          </w:p>
        </w:tc>
        <w:tc>
          <w:tcPr>
            <w:tcW w:w="1701" w:type="dxa"/>
            <w:vAlign w:val="center"/>
          </w:tcPr>
          <w:p w14:paraId="6B611AE5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每年不少于2次，按需</w:t>
            </w:r>
          </w:p>
        </w:tc>
      </w:tr>
      <w:tr w14:paraId="6E3BF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28E6492D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3</w:t>
            </w:r>
          </w:p>
        </w:tc>
        <w:tc>
          <w:tcPr>
            <w:tcW w:w="1361" w:type="dxa"/>
            <w:vAlign w:val="center"/>
          </w:tcPr>
          <w:p w14:paraId="275BF344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分组器升级</w:t>
            </w:r>
          </w:p>
        </w:tc>
        <w:tc>
          <w:tcPr>
            <w:tcW w:w="4876" w:type="dxa"/>
            <w:vAlign w:val="center"/>
          </w:tcPr>
          <w:p w14:paraId="3559851F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国家及武汉市医保局DRG分组方案、权重、费率及结算规则调整后，及时完成院内分组器同步适配</w:t>
            </w:r>
          </w:p>
        </w:tc>
        <w:tc>
          <w:tcPr>
            <w:tcW w:w="1701" w:type="dxa"/>
            <w:vAlign w:val="center"/>
          </w:tcPr>
          <w:p w14:paraId="23B54113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政策发布后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lang w:val="en-US" w:eastAsia="zh-CN"/>
              </w:rPr>
              <w:t>7-10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个工作日内</w:t>
            </w:r>
          </w:p>
        </w:tc>
      </w:tr>
      <w:tr w14:paraId="6EFD2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1D5846F6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4</w:t>
            </w:r>
          </w:p>
        </w:tc>
        <w:tc>
          <w:tcPr>
            <w:tcW w:w="1361" w:type="dxa"/>
            <w:vAlign w:val="center"/>
          </w:tcPr>
          <w:p w14:paraId="3C14690B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结算清单规则适配</w:t>
            </w:r>
          </w:p>
        </w:tc>
        <w:tc>
          <w:tcPr>
            <w:tcW w:w="4876" w:type="dxa"/>
            <w:vAlign w:val="center"/>
          </w:tcPr>
          <w:p w14:paraId="26D75D1A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国家医保结算清单填写规范、质控规则更新后同步升级，保障清单上传通过率</w:t>
            </w:r>
          </w:p>
        </w:tc>
        <w:tc>
          <w:tcPr>
            <w:tcW w:w="1701" w:type="dxa"/>
            <w:vAlign w:val="center"/>
          </w:tcPr>
          <w:p w14:paraId="5672A75D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随政策同步</w:t>
            </w:r>
          </w:p>
        </w:tc>
      </w:tr>
      <w:tr w14:paraId="17A311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0A369881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5</w:t>
            </w:r>
          </w:p>
        </w:tc>
        <w:tc>
          <w:tcPr>
            <w:tcW w:w="1361" w:type="dxa"/>
            <w:vAlign w:val="center"/>
          </w:tcPr>
          <w:p w14:paraId="18E54D5A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分组规则答疑</w:t>
            </w:r>
          </w:p>
        </w:tc>
        <w:tc>
          <w:tcPr>
            <w:tcW w:w="4876" w:type="dxa"/>
            <w:vAlign w:val="center"/>
          </w:tcPr>
          <w:p w14:paraId="57119F6E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DRG分组原理、病例入组、结算计算等规则类问题解答</w:t>
            </w:r>
          </w:p>
        </w:tc>
        <w:tc>
          <w:tcPr>
            <w:tcW w:w="1701" w:type="dxa"/>
            <w:vAlign w:val="center"/>
          </w:tcPr>
          <w:p w14:paraId="7125D2DA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工作日实时</w:t>
            </w:r>
          </w:p>
        </w:tc>
      </w:tr>
      <w:tr w14:paraId="6B2D3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0343AB7B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6</w:t>
            </w:r>
          </w:p>
        </w:tc>
        <w:tc>
          <w:tcPr>
            <w:tcW w:w="1361" w:type="dxa"/>
            <w:vAlign w:val="center"/>
          </w:tcPr>
          <w:p w14:paraId="661D820C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结算单分组核对</w:t>
            </w:r>
          </w:p>
        </w:tc>
        <w:tc>
          <w:tcPr>
            <w:tcW w:w="4876" w:type="dxa"/>
            <w:vAlign w:val="center"/>
          </w:tcPr>
          <w:p w14:paraId="7C8104F2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每月医保结算单分组数据核对，差异病例分析及原因说明</w:t>
            </w:r>
          </w:p>
        </w:tc>
        <w:tc>
          <w:tcPr>
            <w:tcW w:w="1701" w:type="dxa"/>
            <w:vAlign w:val="center"/>
          </w:tcPr>
          <w:p w14:paraId="03A1D9DA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每月1次</w:t>
            </w:r>
          </w:p>
        </w:tc>
      </w:tr>
      <w:tr w14:paraId="58545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3D82AC80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7</w:t>
            </w:r>
          </w:p>
        </w:tc>
        <w:tc>
          <w:tcPr>
            <w:tcW w:w="1361" w:type="dxa"/>
            <w:vAlign w:val="center"/>
          </w:tcPr>
          <w:p w14:paraId="492A79AD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数据问题处理</w:t>
            </w:r>
          </w:p>
        </w:tc>
        <w:tc>
          <w:tcPr>
            <w:tcW w:w="4876" w:type="dxa"/>
            <w:vAlign w:val="center"/>
          </w:tcPr>
          <w:p w14:paraId="2F365DE7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系统数据异常、与第三方系统显示不一致等问题排查处理</w:t>
            </w:r>
          </w:p>
        </w:tc>
        <w:tc>
          <w:tcPr>
            <w:tcW w:w="1701" w:type="dxa"/>
            <w:vAlign w:val="center"/>
          </w:tcPr>
          <w:p w14:paraId="14F7E572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实时</w:t>
            </w:r>
          </w:p>
        </w:tc>
      </w:tr>
      <w:tr w14:paraId="469AC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058CF013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8</w:t>
            </w:r>
          </w:p>
        </w:tc>
        <w:tc>
          <w:tcPr>
            <w:tcW w:w="1361" w:type="dxa"/>
            <w:vAlign w:val="center"/>
          </w:tcPr>
          <w:p w14:paraId="5637E1D1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个性化报表</w:t>
            </w:r>
          </w:p>
        </w:tc>
        <w:tc>
          <w:tcPr>
            <w:tcW w:w="4876" w:type="dxa"/>
            <w:vAlign w:val="center"/>
          </w:tcPr>
          <w:p w14:paraId="673B6C4E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按科室、病组、院区等维度定制DRG运行分析报表</w:t>
            </w:r>
          </w:p>
        </w:tc>
        <w:tc>
          <w:tcPr>
            <w:tcW w:w="1701" w:type="dxa"/>
            <w:vAlign w:val="center"/>
          </w:tcPr>
          <w:p w14:paraId="7613551A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按需</w:t>
            </w:r>
          </w:p>
        </w:tc>
      </w:tr>
      <w:tr w14:paraId="49F7C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71C752B8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9</w:t>
            </w:r>
          </w:p>
        </w:tc>
        <w:tc>
          <w:tcPr>
            <w:tcW w:w="1361" w:type="dxa"/>
            <w:vAlign w:val="center"/>
          </w:tcPr>
          <w:p w14:paraId="35CE8D33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培训服务</w:t>
            </w:r>
          </w:p>
        </w:tc>
        <w:tc>
          <w:tcPr>
            <w:tcW w:w="4876" w:type="dxa"/>
            <w:vAlign w:val="center"/>
          </w:tcPr>
          <w:p w14:paraId="38454AC3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面向医保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lang w:val="en-US" w:eastAsia="zh-CN"/>
              </w:rPr>
              <w:t>物价科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、病案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lang w:val="en-US" w:eastAsia="zh-CN"/>
              </w:rPr>
              <w:t>统计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室、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lang w:eastAsia="zh-CN"/>
              </w:rPr>
              <w:t>信息中心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及临床科室的系统操作与政策培训</w:t>
            </w:r>
          </w:p>
        </w:tc>
        <w:tc>
          <w:tcPr>
            <w:tcW w:w="1701" w:type="dxa"/>
            <w:vAlign w:val="center"/>
          </w:tcPr>
          <w:p w14:paraId="30EC5853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每年不少于2次</w:t>
            </w:r>
          </w:p>
        </w:tc>
      </w:tr>
      <w:tr w14:paraId="5CA65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11539D15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361" w:type="dxa"/>
            <w:vAlign w:val="center"/>
          </w:tcPr>
          <w:p w14:paraId="0E37D570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日常运维保障</w:t>
            </w:r>
          </w:p>
        </w:tc>
        <w:tc>
          <w:tcPr>
            <w:tcW w:w="4876" w:type="dxa"/>
            <w:vAlign w:val="center"/>
          </w:tcPr>
          <w:p w14:paraId="20705597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7×24小时服务热线，30分钟内响应，4小时内到达现场（本地化服务网点），24小时内解决或提供替代方案</w:t>
            </w:r>
          </w:p>
        </w:tc>
        <w:tc>
          <w:tcPr>
            <w:tcW w:w="1701" w:type="dxa"/>
            <w:vAlign w:val="center"/>
          </w:tcPr>
          <w:p w14:paraId="4AEAC9F3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全天候</w:t>
            </w:r>
          </w:p>
        </w:tc>
      </w:tr>
    </w:tbl>
    <w:p w14:paraId="7C3C9D46">
      <w:pPr>
        <w:spacing w:before="200" w:after="120" w:line="360" w:lineRule="auto"/>
        <w:jc w:val="lef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二</w:t>
      </w: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、　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服务</w:t>
      </w: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要求</w:t>
      </w:r>
    </w:p>
    <w:p w14:paraId="28B26892">
      <w:pPr>
        <w:spacing w:before="120" w:after="80" w:line="360" w:lineRule="auto"/>
        <w:jc w:val="lef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（一）　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技术</w:t>
      </w: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要求</w:t>
      </w:r>
    </w:p>
    <w:p w14:paraId="76C927F2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各项功能以现有在用系统为基础平滑延续，不降低现有功能标准：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701"/>
        <w:gridCol w:w="6236"/>
      </w:tblGrid>
      <w:tr w14:paraId="02E29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shd w:val="clear" w:color="auto" w:fill="D9D9D9"/>
            <w:vAlign w:val="center"/>
          </w:tcPr>
          <w:p w14:paraId="0DC75D04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92A05F6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功能模块</w:t>
            </w:r>
          </w:p>
        </w:tc>
        <w:tc>
          <w:tcPr>
            <w:tcW w:w="6236" w:type="dxa"/>
            <w:shd w:val="clear" w:color="auto" w:fill="D9D9D9"/>
            <w:vAlign w:val="center"/>
          </w:tcPr>
          <w:p w14:paraId="6A64932B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</w:rPr>
              <w:t>技术参数要求</w:t>
            </w:r>
          </w:p>
        </w:tc>
      </w:tr>
      <w:tr w14:paraId="1F977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1242A92E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1</w:t>
            </w:r>
          </w:p>
        </w:tc>
        <w:tc>
          <w:tcPr>
            <w:tcW w:w="1701" w:type="dxa"/>
            <w:vAlign w:val="center"/>
          </w:tcPr>
          <w:p w14:paraId="1F5A7EE0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DRG分组预测与事中预警</w:t>
            </w:r>
          </w:p>
        </w:tc>
        <w:tc>
          <w:tcPr>
            <w:tcW w:w="6236" w:type="dxa"/>
            <w:vAlign w:val="center"/>
          </w:tcPr>
          <w:p w14:paraId="3918C3EB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支持在院患者实时DRG分组预测，提供费用超支、病历质控、入组异常等分色预警；支持医生端模拟分组及主诊断/主手术调整后的分组变化对比。</w:t>
            </w:r>
          </w:p>
        </w:tc>
      </w:tr>
      <w:tr w14:paraId="3293D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10489BF4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701" w:type="dxa"/>
            <w:vAlign w:val="center"/>
          </w:tcPr>
          <w:p w14:paraId="42FB4350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医保结算清单全流程管理</w:t>
            </w:r>
          </w:p>
        </w:tc>
        <w:tc>
          <w:tcPr>
            <w:tcW w:w="6236" w:type="dxa"/>
            <w:vAlign w:val="center"/>
          </w:tcPr>
          <w:p w14:paraId="4F84653D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支持结算清单自动生成、质控、编辑、审核；支持清单与病案首页差异核对及"三单一致"校验；支持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lang w:val="en-US" w:eastAsia="zh-CN"/>
              </w:rPr>
              <w:t>质控问题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的定位与处理支持。</w:t>
            </w:r>
          </w:p>
        </w:tc>
      </w:tr>
      <w:tr w14:paraId="3B45B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6BEDB935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701" w:type="dxa"/>
            <w:vAlign w:val="center"/>
          </w:tcPr>
          <w:p w14:paraId="72EEA809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DRG运营分析</w:t>
            </w:r>
          </w:p>
        </w:tc>
        <w:tc>
          <w:tcPr>
            <w:tcW w:w="6236" w:type="dxa"/>
            <w:vAlign w:val="center"/>
          </w:tcPr>
          <w:p w14:paraId="7D23924A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支持院级、科室、病组、医师等多维度DRG运行分析，含医保结算单导入与分组核对、次均费用、结余/超支、高低倍界值病例分析等。</w:t>
            </w:r>
          </w:p>
        </w:tc>
      </w:tr>
      <w:tr w14:paraId="49988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2CF6017F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701" w:type="dxa"/>
            <w:vAlign w:val="center"/>
          </w:tcPr>
          <w:p w14:paraId="2B2A1F1F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管理看板</w:t>
            </w:r>
          </w:p>
        </w:tc>
        <w:tc>
          <w:tcPr>
            <w:tcW w:w="6236" w:type="dxa"/>
            <w:vAlign w:val="center"/>
          </w:tcPr>
          <w:p w14:paraId="61B9F76E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支持科室管理看板（科室内对标、病种构成、事中预警汇总）及院长驾驶舱（全院DRG运营概览）。</w:t>
            </w:r>
          </w:p>
        </w:tc>
      </w:tr>
      <w:tr w14:paraId="37021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0E041702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701" w:type="dxa"/>
            <w:vAlign w:val="center"/>
          </w:tcPr>
          <w:p w14:paraId="7723C8E1">
            <w:pPr>
              <w:spacing w:before="40" w:after="40" w:line="360" w:lineRule="auto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在院患者管理</w:t>
            </w:r>
          </w:p>
        </w:tc>
        <w:tc>
          <w:tcPr>
            <w:tcW w:w="6236" w:type="dxa"/>
            <w:vAlign w:val="center"/>
          </w:tcPr>
          <w:p w14:paraId="68950942">
            <w:pPr>
              <w:spacing w:before="40" w:after="40" w:line="360" w:lineRule="auto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</w:rPr>
              <w:t>支持在院患者费用监控、预计入组情况与结算预估，事中干预降低超支风险。</w:t>
            </w:r>
          </w:p>
        </w:tc>
      </w:tr>
    </w:tbl>
    <w:p w14:paraId="22DBE1F3">
      <w:pPr>
        <w:spacing w:before="120" w:after="80" w:line="360" w:lineRule="auto"/>
        <w:jc w:val="lef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（二）　政策适配要求</w:t>
      </w:r>
    </w:p>
    <w:p w14:paraId="52FDD889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1．分组方案：系统分组器须与国家医保局CHS-DRG分组方案及武汉市医保局现行分组、权重、费率、结算清算规则保持一致，政策调整后按本文件第三部分要求时限完成适配。</w:t>
      </w:r>
    </w:p>
    <w:p w14:paraId="71A6C904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2．结算清单：符合国家医保结算清单填写规范及武汉市医保平台接口要求，保障清单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val="en-US" w:eastAsia="zh-CN"/>
        </w:rPr>
        <w:t>质控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通过率。</w:t>
      </w:r>
    </w:p>
    <w:p w14:paraId="5898D989">
      <w:pPr>
        <w:spacing w:before="120" w:after="80" w:line="360" w:lineRule="auto"/>
        <w:jc w:val="lef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（三）　数据接口要求</w:t>
      </w:r>
    </w:p>
    <w:p w14:paraId="3BE5533B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保持现有与院内HIS、EMR（电子病历）、病案系统及医保前置机等接口的稳定运行，保障历史数据的完整连续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val="en-US" w:eastAsia="zh-CN"/>
        </w:rPr>
        <w:t>包括服务期间相关系统和政策改变的调整工作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。</w:t>
      </w:r>
    </w:p>
    <w:p w14:paraId="648BAE1E">
      <w:pPr>
        <w:spacing w:before="120" w:after="80" w:line="360" w:lineRule="auto"/>
        <w:jc w:val="lef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（四）　数据安全要求</w:t>
      </w:r>
    </w:p>
    <w:p w14:paraId="59999296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1．系统及数据均院内本地化部署，业务数据不出院；</w:t>
      </w:r>
    </w:p>
    <w:p w14:paraId="4C789198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2．提供账号分级权限管理、操作日志留痕及数据库表空间监控机制；</w:t>
      </w:r>
    </w:p>
    <w:p w14:paraId="7F4A9998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b w:val="0"/>
          <w:bCs w:val="0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3．服务方须遵守《网络安全法》《数据安全法》《个人信息保护法》及医院信息安全管理相关规定，签署保密协议；服务期内涉及数据导出、采集的，须按医院审批流程执行。</w:t>
      </w:r>
    </w:p>
    <w:p w14:paraId="04413E3F">
      <w:pPr>
        <w:spacing w:before="120" w:after="80" w:line="360" w:lineRule="auto"/>
        <w:jc w:val="left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（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）　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人员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要求</w:t>
      </w:r>
    </w:p>
    <w:p w14:paraId="4E0A3B0C">
      <w:pPr>
        <w:pStyle w:val="6"/>
        <w:keepNext w:val="0"/>
        <w:keepLines w:val="0"/>
        <w:numPr>
          <w:ilvl w:val="0"/>
          <w:numId w:val="0"/>
        </w:numPr>
        <w:adjustRightInd/>
        <w:spacing w:before="0" w:after="0" w:line="360" w:lineRule="auto"/>
        <w:ind w:left="-73" w:leftChars="-33" w:firstLine="420" w:firstLineChars="200"/>
        <w:jc w:val="both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000000"/>
          <w:sz w:val="21"/>
          <w:szCs w:val="21"/>
          <w:highlight w:val="none"/>
        </w:rPr>
        <w:t>至少</w:t>
      </w:r>
      <w:r>
        <w:rPr>
          <w:rFonts w:ascii="宋体" w:hAnsi="宋体" w:eastAsia="宋体" w:cs="宋体"/>
          <w:b w:val="0"/>
          <w:bCs w:val="0"/>
          <w:color w:val="000000"/>
          <w:sz w:val="21"/>
          <w:szCs w:val="21"/>
          <w:highlight w:val="none"/>
          <w:u w:val="none"/>
        </w:rPr>
        <w:t>3</w:t>
      </w:r>
      <w:r>
        <w:rPr>
          <w:rFonts w:hint="eastAsia" w:ascii="宋体" w:hAnsi="宋体" w:eastAsia="宋体" w:cs="宋体"/>
          <w:b w:val="0"/>
          <w:bCs w:val="0"/>
          <w:color w:val="000000"/>
          <w:sz w:val="21"/>
          <w:szCs w:val="21"/>
          <w:highlight w:val="none"/>
        </w:rPr>
        <w:t>名有</w:t>
      </w:r>
      <w:r>
        <w:rPr>
          <w:rFonts w:hint="eastAsia" w:ascii="宋体" w:hAnsi="宋体" w:eastAsia="宋体" w:cs="宋体"/>
          <w:b w:val="0"/>
          <w:bCs w:val="0"/>
          <w:color w:val="000000"/>
          <w:sz w:val="21"/>
          <w:szCs w:val="21"/>
          <w:highlight w:val="none"/>
          <w:lang w:val="en-US" w:eastAsia="zh-CN"/>
        </w:rPr>
        <w:t>两</w:t>
      </w:r>
      <w:r>
        <w:rPr>
          <w:rFonts w:hint="eastAsia" w:ascii="宋体" w:hAnsi="宋体" w:eastAsia="宋体" w:cs="宋体"/>
          <w:b w:val="0"/>
          <w:bCs w:val="0"/>
          <w:color w:val="000000"/>
          <w:sz w:val="21"/>
          <w:szCs w:val="21"/>
          <w:highlight w:val="none"/>
        </w:rPr>
        <w:t>年以上工作经验的技术人员为医院提供服务</w:t>
      </w:r>
      <w:r>
        <w:rPr>
          <w:rFonts w:hint="eastAsia" w:ascii="宋体" w:hAnsi="宋体" w:eastAsia="宋体" w:cs="宋体"/>
          <w:b w:val="0"/>
          <w:bCs w:val="0"/>
          <w:color w:val="000000"/>
          <w:sz w:val="21"/>
          <w:szCs w:val="21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color w:val="000000"/>
          <w:sz w:val="21"/>
          <w:szCs w:val="21"/>
          <w:highlight w:val="none"/>
        </w:rPr>
        <w:t>3人中至少有1个以上为医学、药学相关专业</w:t>
      </w:r>
      <w:r>
        <w:rPr>
          <w:rFonts w:hint="eastAsia" w:ascii="宋体" w:hAnsi="宋体" w:eastAsia="宋体" w:cs="宋体"/>
          <w:b w:val="0"/>
          <w:bCs w:val="0"/>
          <w:color w:val="000000"/>
          <w:sz w:val="21"/>
          <w:szCs w:val="21"/>
          <w:highlight w:val="none"/>
          <w:lang w:eastAsia="zh-CN"/>
        </w:rPr>
        <w:t>。</w:t>
      </w:r>
    </w:p>
    <w:p w14:paraId="3BF2899B">
      <w:pPr>
        <w:spacing w:before="120" w:after="80" w:line="360" w:lineRule="auto"/>
        <w:jc w:val="lef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（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六</w:t>
      </w:r>
      <w:r>
        <w:rPr>
          <w:rFonts w:hint="eastAsia" w:ascii="宋体" w:hAnsi="宋体" w:eastAsia="宋体" w:cs="宋体"/>
          <w:b/>
          <w:color w:val="auto"/>
          <w:sz w:val="21"/>
          <w:szCs w:val="21"/>
        </w:rPr>
        <w:t>）　服务响应要求</w:t>
      </w:r>
    </w:p>
    <w:p w14:paraId="3BB7FC19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提供7×24小时服务热线；一般问题30分钟内响应；需现场处理的，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小时内到达现场；24小时内解决或提供可行的替代方案。</w:t>
      </w:r>
    </w:p>
    <w:p w14:paraId="771124E2">
      <w:pPr>
        <w:spacing w:before="200" w:after="120" w:line="360" w:lineRule="auto"/>
        <w:jc w:val="left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三</w:t>
      </w:r>
      <w:bookmarkStart w:id="1" w:name="_GoBack"/>
      <w:bookmarkEnd w:id="1"/>
      <w:r>
        <w:rPr>
          <w:rFonts w:hint="eastAsia" w:ascii="宋体" w:hAnsi="宋体" w:eastAsia="宋体" w:cs="宋体"/>
          <w:b/>
          <w:color w:val="auto"/>
          <w:sz w:val="21"/>
          <w:szCs w:val="21"/>
        </w:rPr>
        <w:t>、　服务期限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和付款</w:t>
      </w:r>
    </w:p>
    <w:p w14:paraId="6A367AA9">
      <w:pPr>
        <w:spacing w:before="0" w:after="0" w:line="360" w:lineRule="auto"/>
        <w:jc w:val="both"/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val="en-US" w:eastAsia="zh-CN"/>
        </w:rPr>
        <w:t>一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服务期限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：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</w:rPr>
        <w:t>壹年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val="en-US" w:eastAsia="zh-CN"/>
        </w:rPr>
        <w:t>合同签订之日起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eastAsia="zh-CN"/>
        </w:rPr>
        <w:t>）。</w:t>
      </w:r>
    </w:p>
    <w:p w14:paraId="5D406997">
      <w:pPr>
        <w:pStyle w:val="6"/>
        <w:keepNext w:val="0"/>
        <w:keepLines w:val="0"/>
        <w:numPr>
          <w:ilvl w:val="0"/>
          <w:numId w:val="0"/>
        </w:numPr>
        <w:tabs>
          <w:tab w:val="left" w:pos="425"/>
        </w:tabs>
        <w:adjustRightInd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b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lang w:val="en-US" w:eastAsia="zh-CN"/>
        </w:rPr>
        <w:t>（二）付款方式：</w:t>
      </w:r>
    </w:p>
    <w:p w14:paraId="3644BE69">
      <w:pPr>
        <w:pStyle w:val="6"/>
        <w:keepNext w:val="0"/>
        <w:keepLines w:val="0"/>
        <w:numPr>
          <w:ilvl w:val="0"/>
          <w:numId w:val="0"/>
        </w:numPr>
        <w:tabs>
          <w:tab w:val="left" w:pos="425"/>
        </w:tabs>
        <w:adjustRightInd/>
        <w:spacing w:before="0" w:after="0" w:line="360" w:lineRule="auto"/>
        <w:ind w:leftChars="0" w:firstLine="42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本项目服务期为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个月，每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个月为一期，每期服务费为合同金额的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50 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%，采用先服务后结算的方式。</w:t>
      </w:r>
    </w:p>
    <w:p w14:paraId="3246AEE9">
      <w:pPr>
        <w:numPr>
          <w:ilvl w:val="0"/>
          <w:numId w:val="0"/>
        </w:numPr>
        <w:spacing w:line="360" w:lineRule="auto"/>
        <w:ind w:leftChars="0"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每期（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个月）服务期结束后15天内，乙方应向甲方提交服务成果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等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文件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资料，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甲方对乙方本期服务进行考核，并出具服务考核评分报告，甲方根据考核报告支付比例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服务考核支付服务费比例说明）进行结算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支付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。</w:t>
      </w:r>
    </w:p>
    <w:p w14:paraId="2760869F">
      <w:pPr>
        <w:numPr>
          <w:ilvl w:val="0"/>
          <w:numId w:val="0"/>
        </w:numPr>
        <w:spacing w:line="360" w:lineRule="auto"/>
        <w:ind w:leftChars="0" w:firstLine="420" w:firstLineChars="200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</w:pPr>
      <w:bookmarkStart w:id="0" w:name="_Hlk86054313"/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3、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</w:rPr>
        <w:t>服务考核支付服务费比例说明</w:t>
      </w:r>
    </w:p>
    <w:bookmarkEnd w:id="0"/>
    <w:p w14:paraId="4BA14453">
      <w:pPr>
        <w:pStyle w:val="21"/>
        <w:spacing w:line="360" w:lineRule="auto"/>
        <w:ind w:left="440" w:left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（1）考核分数≥90分，支付100%服务费用。</w:t>
      </w:r>
    </w:p>
    <w:p w14:paraId="249B6A63">
      <w:pPr>
        <w:pStyle w:val="21"/>
        <w:spacing w:line="360" w:lineRule="auto"/>
        <w:ind w:left="440" w:left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（2）90分＞考核分数≥80分，支付90%服务费。</w:t>
      </w:r>
    </w:p>
    <w:p w14:paraId="02B235E1">
      <w:pPr>
        <w:pStyle w:val="21"/>
        <w:spacing w:line="360" w:lineRule="auto"/>
        <w:ind w:left="440" w:left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（3）80分＞考核分数≥70分，支付80%服务费。</w:t>
      </w:r>
    </w:p>
    <w:p w14:paraId="6A9E2AA6">
      <w:pPr>
        <w:pStyle w:val="21"/>
        <w:spacing w:line="360" w:lineRule="auto"/>
        <w:ind w:left="440" w:left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（4）70分＞考核分数≥60分，支付70%服务费。</w:t>
      </w:r>
    </w:p>
    <w:p w14:paraId="1FD39719">
      <w:pPr>
        <w:pStyle w:val="21"/>
        <w:spacing w:line="360" w:lineRule="auto"/>
        <w:ind w:left="440" w:left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（5）考核分数＜60分，不支付服务费用。</w:t>
      </w:r>
    </w:p>
    <w:p w14:paraId="0C884401">
      <w:pPr>
        <w:spacing w:before="0" w:after="0" w:line="360" w:lineRule="auto"/>
        <w:ind w:firstLine="480"/>
        <w:jc w:val="both"/>
        <w:rPr>
          <w:rFonts w:hint="eastAsia" w:ascii="宋体" w:hAnsi="宋体" w:eastAsia="宋体" w:cs="宋体"/>
          <w:b w:val="0"/>
          <w:color w:val="auto"/>
          <w:sz w:val="21"/>
          <w:szCs w:val="21"/>
          <w:lang w:val="en-US" w:eastAsia="zh-CN"/>
        </w:rPr>
      </w:pPr>
    </w:p>
    <w:p w14:paraId="26F9B1E2">
      <w:pPr>
        <w:spacing w:line="360" w:lineRule="auto"/>
        <w:rPr>
          <w:rFonts w:hint="eastAsia" w:ascii="宋体" w:hAnsi="宋体" w:eastAsia="宋体" w:cs="宋体"/>
          <w:color w:val="auto"/>
          <w:sz w:val="21"/>
          <w:szCs w:val="21"/>
        </w:rPr>
      </w:pPr>
    </w:p>
    <w:p w14:paraId="4C349705">
      <w:pPr>
        <w:spacing w:before="240" w:after="0" w:line="360" w:lineRule="auto"/>
        <w:jc w:val="center"/>
        <w:rPr>
          <w:rFonts w:hint="eastAsia" w:ascii="宋体" w:hAnsi="宋体" w:eastAsia="宋体" w:cs="宋体"/>
          <w:color w:val="auto"/>
          <w:sz w:val="21"/>
          <w:szCs w:val="21"/>
        </w:rPr>
      </w:pPr>
    </w:p>
    <w:sectPr>
      <w:footerReference r:id="rId5" w:type="default"/>
      <w:pgSz w:w="11906" w:h="16838"/>
      <w:pgMar w:top="1440" w:right="1474" w:bottom="1440" w:left="170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7BDD52">
    <w:pPr>
      <w:pStyle w:val="26"/>
      <w:jc w:val="center"/>
    </w:pPr>
    <w:r>
      <w:rPr>
        <w:rFonts w:ascii="Times New Roman" w:hAnsi="Times New Roman" w:eastAsia="宋体"/>
        <w:b w:val="0"/>
        <w:sz w:val="21"/>
      </w:rPr>
      <w:t xml:space="preserve">— </w:t>
    </w:r>
    <w:r>
      <w:rPr>
        <w:rFonts w:ascii="Times New Roman" w:hAnsi="Times New Roman" w:eastAsia="宋体"/>
        <w:b w:val="0"/>
        <w:sz w:val="21"/>
      </w:rPr>
      <w:fldChar w:fldCharType="begin"/>
    </w:r>
    <w:r>
      <w:rPr>
        <w:rFonts w:ascii="Times New Roman" w:hAnsi="Times New Roman" w:eastAsia="宋体"/>
        <w:b w:val="0"/>
        <w:sz w:val="21"/>
      </w:rPr>
      <w:instrText xml:space="preserve"> PAGE </w:instrText>
    </w:r>
    <w:r>
      <w:rPr>
        <w:rFonts w:ascii="Times New Roman" w:hAnsi="Times New Roman" w:eastAsia="宋体"/>
        <w:b w:val="0"/>
        <w:sz w:val="21"/>
      </w:rPr>
      <w:fldChar w:fldCharType="end"/>
    </w:r>
    <w:r>
      <w:rPr>
        <w:rFonts w:ascii="Times New Roman" w:hAnsi="Times New Roman" w:eastAsia="宋体"/>
        <w:b w:val="0"/>
        <w:sz w:val="21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2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5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6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8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7"/>
  <w:doNotDisplayPageBoundaries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9AE57A8"/>
    <w:rsid w:val="0D743422"/>
    <w:rsid w:val="15B95830"/>
    <w:rsid w:val="1D3F1E0A"/>
    <w:rsid w:val="22AB6FED"/>
    <w:rsid w:val="255A0798"/>
    <w:rsid w:val="272571C7"/>
    <w:rsid w:val="27821CFF"/>
    <w:rsid w:val="27D872DF"/>
    <w:rsid w:val="2C633C29"/>
    <w:rsid w:val="34326949"/>
    <w:rsid w:val="34AF33B1"/>
    <w:rsid w:val="35326051"/>
    <w:rsid w:val="375E61E2"/>
    <w:rsid w:val="392F7762"/>
    <w:rsid w:val="3EDF08B2"/>
    <w:rsid w:val="41A90D45"/>
    <w:rsid w:val="44302CEE"/>
    <w:rsid w:val="44410A09"/>
    <w:rsid w:val="4547396B"/>
    <w:rsid w:val="476C2FC5"/>
    <w:rsid w:val="49E93B3E"/>
    <w:rsid w:val="4A2026A9"/>
    <w:rsid w:val="4D25749E"/>
    <w:rsid w:val="517045AA"/>
    <w:rsid w:val="5382528E"/>
    <w:rsid w:val="5A5255BC"/>
    <w:rsid w:val="5EF21628"/>
    <w:rsid w:val="60465003"/>
    <w:rsid w:val="623C3E38"/>
    <w:rsid w:val="626F338E"/>
    <w:rsid w:val="66B06886"/>
    <w:rsid w:val="6B344933"/>
    <w:rsid w:val="6CF574ED"/>
    <w:rsid w:val="6E740745"/>
    <w:rsid w:val="751A3CEF"/>
    <w:rsid w:val="7729410C"/>
    <w:rsid w:val="7C5B3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5">
    <w:name w:val="heading 1"/>
    <w:basedOn w:val="1"/>
    <w:next w:val="1"/>
    <w:link w:val="1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6">
    <w:name w:val="heading 2"/>
    <w:basedOn w:val="1"/>
    <w:next w:val="1"/>
    <w:link w:val="1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7">
    <w:name w:val="heading 3"/>
    <w:basedOn w:val="1"/>
    <w:next w:val="1"/>
    <w:link w:val="1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4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9">
    <w:name w:val="heading 5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10">
    <w:name w:val="heading 6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1">
    <w:name w:val="heading 7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2">
    <w:name w:val="heading 8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3">
    <w:name w:val="heading 9"/>
    <w:basedOn w:val="1"/>
    <w:next w:val="1"/>
    <w:link w:val="1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4">
    <w:name w:val="Default Paragraph Font"/>
    <w:semiHidden/>
    <w:unhideWhenUsed/>
    <w:qFormat/>
    <w:uiPriority w:val="1"/>
  </w:style>
  <w:style w:type="table" w:default="1" w:styleId="3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</w:style>
  <w:style w:type="paragraph" w:styleId="3">
    <w:name w:val="Body Text Indent"/>
    <w:basedOn w:val="1"/>
    <w:qFormat/>
    <w:uiPriority w:val="0"/>
    <w:pPr>
      <w:adjustRightInd w:val="0"/>
      <w:spacing w:line="360" w:lineRule="auto"/>
      <w:ind w:firstLine="490"/>
      <w:jc w:val="left"/>
    </w:pPr>
    <w:rPr>
      <w:rFonts w:ascii="Century Gothic" w:hAnsi="Century Gothic" w:cs="Arial"/>
      <w:sz w:val="24"/>
      <w:szCs w:val="22"/>
    </w:rPr>
  </w:style>
  <w:style w:type="paragraph" w:styleId="4">
    <w:name w:val="macro"/>
    <w:link w:val="149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4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5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6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9">
    <w:name w:val="Body Text 3"/>
    <w:basedOn w:val="1"/>
    <w:link w:val="148"/>
    <w:unhideWhenUsed/>
    <w:qFormat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1">
    <w:name w:val="Body Text"/>
    <w:basedOn w:val="1"/>
    <w:link w:val="146"/>
    <w:unhideWhenUsed/>
    <w:qFormat/>
    <w:uiPriority w:val="99"/>
    <w:pPr>
      <w:spacing w:after="120"/>
    </w:pPr>
  </w:style>
  <w:style w:type="paragraph" w:styleId="22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3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4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5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6">
    <w:name w:val="footer"/>
    <w:basedOn w:val="1"/>
    <w:link w:val="1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head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8">
    <w:name w:val="Subtitle"/>
    <w:basedOn w:val="1"/>
    <w:next w:val="1"/>
    <w:link w:val="1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2"/>
    <w:basedOn w:val="1"/>
    <w:link w:val="147"/>
    <w:unhideWhenUsed/>
    <w:qFormat/>
    <w:uiPriority w:val="99"/>
    <w:pPr>
      <w:spacing w:after="120" w:line="480" w:lineRule="auto"/>
    </w:pPr>
  </w:style>
  <w:style w:type="paragraph" w:styleId="31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2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3">
    <w:name w:val="Title"/>
    <w:basedOn w:val="1"/>
    <w:next w:val="1"/>
    <w:link w:val="1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5">
    <w:name w:val="Table Grid"/>
    <w:basedOn w:val="3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6">
    <w:name w:val="Light Shading"/>
    <w:basedOn w:val="34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7">
    <w:name w:val="Light Shading Accent 1"/>
    <w:basedOn w:val="34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8">
    <w:name w:val="Light Shading Accent 2"/>
    <w:basedOn w:val="34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9">
    <w:name w:val="Light Shading Accent 3"/>
    <w:basedOn w:val="34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0">
    <w:name w:val="Light Shading Accent 4"/>
    <w:basedOn w:val="34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1">
    <w:name w:val="Light Shading Accent 5"/>
    <w:basedOn w:val="34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2">
    <w:name w:val="Light Shading Accent 6"/>
    <w:basedOn w:val="34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3">
    <w:name w:val="Light List"/>
    <w:basedOn w:val="34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4">
    <w:name w:val="Light List Accent 1"/>
    <w:basedOn w:val="34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5">
    <w:name w:val="Light List Accent 2"/>
    <w:basedOn w:val="34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6">
    <w:name w:val="Light List Accent 3"/>
    <w:basedOn w:val="34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7">
    <w:name w:val="Light List Accent 4"/>
    <w:basedOn w:val="34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8">
    <w:name w:val="Light List Accent 5"/>
    <w:basedOn w:val="34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9">
    <w:name w:val="Light List Accent 6"/>
    <w:basedOn w:val="34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0">
    <w:name w:val="Light Grid"/>
    <w:basedOn w:val="34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1">
    <w:name w:val="Light Grid Accent 1"/>
    <w:basedOn w:val="34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2">
    <w:name w:val="Light Grid Accent 2"/>
    <w:basedOn w:val="34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3">
    <w:name w:val="Light Grid Accent 3"/>
    <w:basedOn w:val="34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4">
    <w:name w:val="Light Grid Accent 4"/>
    <w:basedOn w:val="34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5">
    <w:name w:val="Light Grid Accent 5"/>
    <w:basedOn w:val="34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6">
    <w:name w:val="Light Grid Accent 6"/>
    <w:basedOn w:val="34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7">
    <w:name w:val="Medium Shading 1"/>
    <w:basedOn w:val="34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1"/>
    <w:basedOn w:val="34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2"/>
    <w:basedOn w:val="34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3"/>
    <w:basedOn w:val="34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4"/>
    <w:basedOn w:val="34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5"/>
    <w:basedOn w:val="34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6"/>
    <w:basedOn w:val="34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2"/>
    <w:basedOn w:val="34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1"/>
    <w:basedOn w:val="34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2"/>
    <w:basedOn w:val="34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3"/>
    <w:basedOn w:val="34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4"/>
    <w:basedOn w:val="34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5"/>
    <w:basedOn w:val="34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6"/>
    <w:basedOn w:val="34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List 1"/>
    <w:basedOn w:val="34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2">
    <w:name w:val="Medium List 1 Accent 1"/>
    <w:basedOn w:val="34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3">
    <w:name w:val="Medium List 1 Accent 2"/>
    <w:basedOn w:val="34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4">
    <w:name w:val="Medium List 1 Accent 3"/>
    <w:basedOn w:val="34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5">
    <w:name w:val="Medium List 1 Accent 4"/>
    <w:basedOn w:val="34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6">
    <w:name w:val="Medium List 1 Accent 5"/>
    <w:basedOn w:val="34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7">
    <w:name w:val="Medium List 1 Accent 6"/>
    <w:basedOn w:val="34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8">
    <w:name w:val="Medium List 2"/>
    <w:basedOn w:val="34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1"/>
    <w:basedOn w:val="34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2"/>
    <w:basedOn w:val="34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3"/>
    <w:basedOn w:val="34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4"/>
    <w:basedOn w:val="34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5"/>
    <w:basedOn w:val="34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6"/>
    <w:basedOn w:val="34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Grid 1"/>
    <w:basedOn w:val="34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6">
    <w:name w:val="Medium Grid 1 Accent 1"/>
    <w:basedOn w:val="34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7">
    <w:name w:val="Medium Grid 1 Accent 2"/>
    <w:basedOn w:val="34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8">
    <w:name w:val="Medium Grid 1 Accent 3"/>
    <w:basedOn w:val="34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9">
    <w:name w:val="Medium Grid 1 Accent 4"/>
    <w:basedOn w:val="34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0">
    <w:name w:val="Medium Grid 1 Accent 5"/>
    <w:basedOn w:val="34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1">
    <w:name w:val="Medium Grid 1 Accent 6"/>
    <w:basedOn w:val="34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2">
    <w:name w:val="Medium Grid 2"/>
    <w:basedOn w:val="34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1"/>
    <w:basedOn w:val="34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2"/>
    <w:basedOn w:val="34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3"/>
    <w:basedOn w:val="34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4"/>
    <w:basedOn w:val="34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5"/>
    <w:basedOn w:val="34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6"/>
    <w:basedOn w:val="34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3"/>
    <w:basedOn w:val="34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0">
    <w:name w:val="Medium Grid 3 Accent 1"/>
    <w:basedOn w:val="34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1">
    <w:name w:val="Medium Grid 3 Accent 2"/>
    <w:basedOn w:val="34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2">
    <w:name w:val="Medium Grid 3 Accent 3"/>
    <w:basedOn w:val="34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3">
    <w:name w:val="Medium Grid 3 Accent 4"/>
    <w:basedOn w:val="34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4">
    <w:name w:val="Medium Grid 3 Accent 5"/>
    <w:basedOn w:val="34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5">
    <w:name w:val="Medium Grid 3 Accent 6"/>
    <w:basedOn w:val="34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6">
    <w:name w:val="Dark List"/>
    <w:basedOn w:val="34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7">
    <w:name w:val="Dark List Accent 1"/>
    <w:basedOn w:val="34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8">
    <w:name w:val="Dark List Accent 2"/>
    <w:basedOn w:val="34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9">
    <w:name w:val="Dark List Accent 3"/>
    <w:basedOn w:val="34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0">
    <w:name w:val="Dark List Accent 4"/>
    <w:basedOn w:val="34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1">
    <w:name w:val="Dark List Accent 5"/>
    <w:basedOn w:val="34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2">
    <w:name w:val="Dark List Accent 6"/>
    <w:basedOn w:val="34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3">
    <w:name w:val="Colorful Shading"/>
    <w:basedOn w:val="34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1"/>
    <w:basedOn w:val="34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2"/>
    <w:basedOn w:val="34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3"/>
    <w:basedOn w:val="34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7">
    <w:name w:val="Colorful Shading Accent 4"/>
    <w:basedOn w:val="34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5"/>
    <w:basedOn w:val="34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6"/>
    <w:basedOn w:val="34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List"/>
    <w:basedOn w:val="34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1">
    <w:name w:val="Colorful List Accent 1"/>
    <w:basedOn w:val="34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2">
    <w:name w:val="Colorful List Accent 2"/>
    <w:basedOn w:val="34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3">
    <w:name w:val="Colorful List Accent 3"/>
    <w:basedOn w:val="34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4">
    <w:name w:val="Colorful List Accent 4"/>
    <w:basedOn w:val="34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5">
    <w:name w:val="Colorful List Accent 5"/>
    <w:basedOn w:val="34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6">
    <w:name w:val="Colorful List Accent 6"/>
    <w:basedOn w:val="34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7">
    <w:name w:val="Colorful Grid"/>
    <w:basedOn w:val="34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8">
    <w:name w:val="Colorful Grid Accent 1"/>
    <w:basedOn w:val="34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9">
    <w:name w:val="Colorful Grid Accent 2"/>
    <w:basedOn w:val="34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0">
    <w:name w:val="Colorful Grid Accent 3"/>
    <w:basedOn w:val="34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1">
    <w:name w:val="Colorful Grid Accent 4"/>
    <w:basedOn w:val="34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2">
    <w:name w:val="Colorful Grid Accent 5"/>
    <w:basedOn w:val="34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3">
    <w:name w:val="Colorful Grid Accent 6"/>
    <w:basedOn w:val="34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5">
    <w:name w:val="Strong"/>
    <w:basedOn w:val="134"/>
    <w:qFormat/>
    <w:uiPriority w:val="22"/>
    <w:rPr>
      <w:b/>
      <w:bCs/>
    </w:rPr>
  </w:style>
  <w:style w:type="character" w:styleId="136">
    <w:name w:val="Emphasis"/>
    <w:basedOn w:val="134"/>
    <w:qFormat/>
    <w:uiPriority w:val="20"/>
    <w:rPr>
      <w:i/>
      <w:iCs/>
    </w:rPr>
  </w:style>
  <w:style w:type="character" w:customStyle="1" w:styleId="137">
    <w:name w:val="Header Char"/>
    <w:basedOn w:val="134"/>
    <w:link w:val="27"/>
    <w:qFormat/>
    <w:uiPriority w:val="99"/>
  </w:style>
  <w:style w:type="character" w:customStyle="1" w:styleId="138">
    <w:name w:val="Footer Char"/>
    <w:basedOn w:val="134"/>
    <w:link w:val="26"/>
    <w:qFormat/>
    <w:uiPriority w:val="99"/>
  </w:style>
  <w:style w:type="paragraph" w:styleId="1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40">
    <w:name w:val="Heading 1 Char"/>
    <w:basedOn w:val="134"/>
    <w:link w:val="5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1">
    <w:name w:val="Heading 2 Char"/>
    <w:basedOn w:val="134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2">
    <w:name w:val="Heading 3 Char"/>
    <w:basedOn w:val="134"/>
    <w:link w:val="7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3">
    <w:name w:val="Title Char"/>
    <w:basedOn w:val="134"/>
    <w:link w:val="33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4">
    <w:name w:val="Subtitle Char"/>
    <w:basedOn w:val="134"/>
    <w:link w:val="28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5">
    <w:name w:val="List Paragraph"/>
    <w:basedOn w:val="1"/>
    <w:qFormat/>
    <w:uiPriority w:val="34"/>
    <w:pPr>
      <w:ind w:left="720"/>
      <w:contextualSpacing/>
    </w:pPr>
  </w:style>
  <w:style w:type="character" w:customStyle="1" w:styleId="146">
    <w:name w:val="Body Text Char"/>
    <w:basedOn w:val="134"/>
    <w:link w:val="21"/>
    <w:qFormat/>
    <w:uiPriority w:val="99"/>
  </w:style>
  <w:style w:type="character" w:customStyle="1" w:styleId="147">
    <w:name w:val="Body Text 2 Char"/>
    <w:basedOn w:val="134"/>
    <w:link w:val="30"/>
    <w:qFormat/>
    <w:uiPriority w:val="99"/>
  </w:style>
  <w:style w:type="character" w:customStyle="1" w:styleId="148">
    <w:name w:val="Body Text 3 Char"/>
    <w:basedOn w:val="134"/>
    <w:link w:val="19"/>
    <w:qFormat/>
    <w:uiPriority w:val="99"/>
    <w:rPr>
      <w:sz w:val="16"/>
      <w:szCs w:val="16"/>
    </w:rPr>
  </w:style>
  <w:style w:type="character" w:customStyle="1" w:styleId="149">
    <w:name w:val="Macro Text Char"/>
    <w:basedOn w:val="134"/>
    <w:link w:val="4"/>
    <w:qFormat/>
    <w:uiPriority w:val="99"/>
    <w:rPr>
      <w:rFonts w:ascii="Courier" w:hAnsi="Courier"/>
      <w:sz w:val="20"/>
      <w:szCs w:val="20"/>
    </w:rPr>
  </w:style>
  <w:style w:type="paragraph" w:styleId="150">
    <w:name w:val="Quote"/>
    <w:basedOn w:val="1"/>
    <w:next w:val="1"/>
    <w:link w:val="1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Quote Char"/>
    <w:basedOn w:val="134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2">
    <w:name w:val="Heading 4 Char"/>
    <w:basedOn w:val="134"/>
    <w:link w:val="8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3">
    <w:name w:val="Heading 5 Char"/>
    <w:basedOn w:val="134"/>
    <w:link w:val="9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4">
    <w:name w:val="Heading 6 Char"/>
    <w:basedOn w:val="134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5">
    <w:name w:val="Heading 7 Char"/>
    <w:basedOn w:val="134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6">
    <w:name w:val="Heading 8 Char"/>
    <w:basedOn w:val="134"/>
    <w:link w:val="12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7">
    <w:name w:val="Heading 9 Char"/>
    <w:basedOn w:val="134"/>
    <w:link w:val="13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8">
    <w:name w:val="Intense Quote"/>
    <w:basedOn w:val="1"/>
    <w:next w:val="1"/>
    <w:link w:val="1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Intense Quote Char"/>
    <w:basedOn w:val="134"/>
    <w:link w:val="158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Emphasis"/>
    <w:basedOn w:val="134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1">
    <w:name w:val="Intense Emphasis"/>
    <w:basedOn w:val="134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2">
    <w:name w:val="Subtle Reference"/>
    <w:basedOn w:val="134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3">
    <w:name w:val="Intense Reference"/>
    <w:basedOn w:val="134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4">
    <w:name w:val="Book Title"/>
    <w:basedOn w:val="134"/>
    <w:qFormat/>
    <w:uiPriority w:val="33"/>
    <w:rPr>
      <w:b/>
      <w:bCs/>
      <w:smallCaps/>
      <w:spacing w:val="5"/>
    </w:rPr>
  </w:style>
  <w:style w:type="paragraph" w:customStyle="1" w:styleId="165">
    <w:name w:val="TOC Heading"/>
    <w:basedOn w:val="5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1332</Words>
  <Characters>1377</Characters>
  <Lines>0</Lines>
  <Paragraphs>0</Paragraphs>
  <TotalTime>39</TotalTime>
  <ScaleCrop>false</ScaleCrop>
  <LinksUpToDate>false</LinksUpToDate>
  <CharactersWithSpaces>1385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桂明</cp:lastModifiedBy>
  <dcterms:modified xsi:type="dcterms:W3CDTF">2026-10-09T07:46:41Z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eyJoZGlkIjoiMzlmMDI2MjJkZTk1YTZmYWVmMjlmYzNmOTZhMmRlZjIiLCJ1c2VySWQiOiIxNjk2OTc0NjU2In0=</vt:lpwstr>
  </property>
  <property fmtid="{D5CDD505-2E9C-101B-9397-08002B2CF9AE}" pid="3" name="KSOProductBuildVer">
    <vt:lpwstr>2052-12.1.0.28505</vt:lpwstr>
  </property>
  <property fmtid="{D5CDD505-2E9C-101B-9397-08002B2CF9AE}" pid="4" name="ICV">
    <vt:lpwstr>DF08A2F2C39643D7905208FEDAF1D721_13</vt:lpwstr>
  </property>
</Properties>
</file>