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7682F3">
      <w:pPr>
        <w:jc w:val="center"/>
        <w:rPr>
          <w:rFonts w:hint="default" w:ascii="宋体" w:hAnsi="宋体" w:eastAsia="宋体" w:cs="Times New Roman"/>
          <w:b/>
          <w:bCs/>
          <w:sz w:val="36"/>
          <w:szCs w:val="36"/>
        </w:rPr>
      </w:pPr>
      <w:r>
        <w:rPr>
          <w:rFonts w:hint="default" w:ascii="宋体" w:hAnsi="宋体" w:eastAsia="宋体" w:cs="Times New Roman"/>
          <w:b/>
          <w:bCs/>
          <w:sz w:val="36"/>
          <w:szCs w:val="36"/>
          <w:lang w:eastAsia="zh-CN"/>
        </w:rPr>
        <w:t>武汉市地方金融工作局</w:t>
      </w:r>
    </w:p>
    <w:p w14:paraId="553924FC">
      <w:pPr>
        <w:jc w:val="center"/>
        <w:rPr>
          <w:rFonts w:ascii="宋体" w:hAnsi="宋体" w:eastAsia="宋体" w:cs="Times New Roman"/>
          <w:b/>
          <w:bCs/>
          <w:sz w:val="44"/>
          <w:szCs w:val="44"/>
        </w:rPr>
      </w:pPr>
      <w:r>
        <w:rPr>
          <w:rFonts w:ascii="宋体" w:hAnsi="宋体" w:eastAsia="宋体" w:cs="Times New Roman"/>
          <w:b/>
          <w:bCs/>
          <w:sz w:val="36"/>
          <w:szCs w:val="36"/>
        </w:rPr>
        <w:t>信息系统安全等级保护测评</w:t>
      </w:r>
      <w:r>
        <w:rPr>
          <w:rFonts w:hint="eastAsia" w:ascii="宋体" w:hAnsi="宋体" w:eastAsia="宋体" w:cs="Times New Roman"/>
          <w:b/>
          <w:bCs/>
          <w:sz w:val="36"/>
          <w:szCs w:val="36"/>
        </w:rPr>
        <w:t>项目采购需求</w:t>
      </w:r>
      <w:r>
        <w:rPr>
          <w:rFonts w:hint="eastAsia" w:ascii="宋体" w:hAnsi="宋体" w:eastAsia="宋体" w:cs="Times New Roman"/>
          <w:b/>
          <w:bCs/>
          <w:sz w:val="44"/>
          <w:szCs w:val="44"/>
        </w:rPr>
        <w:t xml:space="preserve"> </w:t>
      </w:r>
    </w:p>
    <w:p w14:paraId="1139BBE0">
      <w:pPr>
        <w:rPr>
          <w:rFonts w:ascii="宋体" w:hAnsi="宋体" w:eastAsia="宋体"/>
        </w:rPr>
      </w:pPr>
    </w:p>
    <w:p w14:paraId="6EDDA54A">
      <w:pPr>
        <w:pStyle w:val="4"/>
        <w:spacing w:before="120" w:after="120" w:line="360" w:lineRule="auto"/>
        <w:jc w:val="both"/>
        <w:rPr>
          <w:rFonts w:ascii="宋体" w:hAnsi="宋体" w:cs="宋体"/>
          <w:sz w:val="24"/>
          <w:szCs w:val="24"/>
        </w:rPr>
      </w:pPr>
      <w:r>
        <w:rPr>
          <w:rFonts w:hint="eastAsia" w:ascii="宋体" w:hAnsi="宋体" w:cs="宋体"/>
          <w:sz w:val="24"/>
          <w:szCs w:val="24"/>
        </w:rPr>
        <w:t xml:space="preserve">一、供应商资格要求 </w:t>
      </w:r>
    </w:p>
    <w:p w14:paraId="66885532">
      <w:pPr>
        <w:spacing w:line="360" w:lineRule="auto"/>
        <w:ind w:firstLine="480" w:firstLineChars="200"/>
        <w:rPr>
          <w:rFonts w:ascii="宋体" w:hAnsi="宋体" w:eastAsia="宋体"/>
          <w:sz w:val="24"/>
          <w:szCs w:val="24"/>
        </w:rPr>
      </w:pPr>
      <w:bookmarkStart w:id="0" w:name="_Hlk480553009"/>
      <w:r>
        <w:rPr>
          <w:rFonts w:hint="eastAsia" w:ascii="宋体" w:hAnsi="宋体" w:eastAsia="宋体"/>
          <w:sz w:val="24"/>
          <w:szCs w:val="24"/>
        </w:rPr>
        <w:t xml:space="preserve">1、投标人须符合《政府采购法》第二十二条的规定； </w:t>
      </w:r>
    </w:p>
    <w:p w14:paraId="7E00E7D7">
      <w:pPr>
        <w:spacing w:line="360" w:lineRule="auto"/>
        <w:ind w:firstLine="480" w:firstLineChars="200"/>
        <w:rPr>
          <w:rFonts w:ascii="宋体" w:hAnsi="宋体" w:eastAsia="宋体"/>
          <w:sz w:val="24"/>
          <w:szCs w:val="24"/>
        </w:rPr>
      </w:pPr>
      <w:r>
        <w:rPr>
          <w:rFonts w:hint="eastAsia" w:ascii="宋体" w:hAnsi="宋体" w:eastAsia="宋体"/>
          <w:sz w:val="24"/>
          <w:szCs w:val="24"/>
        </w:rPr>
        <w:t>2、投标人须具有</w:t>
      </w:r>
      <w:r>
        <w:rPr>
          <w:rFonts w:hint="eastAsia" w:ascii="宋体" w:hAnsi="宋体" w:eastAsia="宋体"/>
          <w:sz w:val="24"/>
          <w:szCs w:val="24"/>
          <w:lang w:val="en-US" w:eastAsia="zh-CN"/>
        </w:rPr>
        <w:t>公安部第三研究所</w:t>
      </w:r>
      <w:r>
        <w:rPr>
          <w:rFonts w:hint="eastAsia" w:ascii="宋体" w:hAnsi="宋体" w:eastAsia="宋体"/>
          <w:sz w:val="24"/>
          <w:szCs w:val="24"/>
        </w:rPr>
        <w:t>颁发的《</w:t>
      </w:r>
      <w:r>
        <w:rPr>
          <w:rFonts w:hint="eastAsia" w:ascii="宋体" w:hAnsi="宋体" w:eastAsia="宋体"/>
          <w:sz w:val="24"/>
          <w:szCs w:val="24"/>
          <w:lang w:val="en-US" w:eastAsia="zh-CN"/>
        </w:rPr>
        <w:t>网络安全服务认证证书等级保护测评服务认证</w:t>
      </w:r>
      <w:r>
        <w:rPr>
          <w:rFonts w:hint="eastAsia" w:ascii="宋体" w:hAnsi="宋体" w:eastAsia="宋体"/>
          <w:sz w:val="24"/>
          <w:szCs w:val="24"/>
        </w:rPr>
        <w:t xml:space="preserve">》资质；  </w:t>
      </w:r>
    </w:p>
    <w:p w14:paraId="294CB6EC">
      <w:pPr>
        <w:spacing w:line="360" w:lineRule="auto"/>
        <w:ind w:firstLine="480" w:firstLineChars="200"/>
        <w:rPr>
          <w:rFonts w:ascii="宋体" w:hAnsi="宋体" w:eastAsia="宋体"/>
          <w:sz w:val="24"/>
          <w:szCs w:val="24"/>
        </w:rPr>
      </w:pPr>
      <w:r>
        <w:rPr>
          <w:rFonts w:hint="default" w:ascii="宋体" w:hAnsi="宋体" w:eastAsia="宋体"/>
          <w:sz w:val="24"/>
          <w:szCs w:val="24"/>
        </w:rPr>
        <w:t>3</w:t>
      </w:r>
      <w:r>
        <w:rPr>
          <w:rFonts w:hint="eastAsia" w:ascii="宋体" w:hAnsi="宋体" w:eastAsia="宋体"/>
          <w:sz w:val="24"/>
          <w:szCs w:val="24"/>
        </w:rPr>
        <w:t>、本项目不接受联合体投标。</w:t>
      </w:r>
      <w:bookmarkStart w:id="9" w:name="_GoBack"/>
      <w:bookmarkEnd w:id="9"/>
      <w:r>
        <w:rPr>
          <w:rFonts w:hint="eastAsia" w:ascii="宋体" w:hAnsi="宋体" w:eastAsia="宋体"/>
          <w:sz w:val="24"/>
          <w:szCs w:val="24"/>
        </w:rPr>
        <w:t xml:space="preserve"> </w:t>
      </w:r>
      <w:bookmarkEnd w:id="0"/>
    </w:p>
    <w:p w14:paraId="032A09ED">
      <w:pPr>
        <w:pStyle w:val="4"/>
        <w:spacing w:before="120" w:after="120" w:line="360" w:lineRule="auto"/>
        <w:jc w:val="both"/>
        <w:rPr>
          <w:rFonts w:ascii="宋体" w:hAnsi="宋体" w:cs="宋体"/>
          <w:sz w:val="24"/>
          <w:szCs w:val="24"/>
        </w:rPr>
      </w:pPr>
      <w:bookmarkStart w:id="1" w:name="_Toc22174"/>
      <w:bookmarkStart w:id="2" w:name="_Toc14096791"/>
      <w:r>
        <w:rPr>
          <w:rFonts w:hint="eastAsia" w:ascii="宋体" w:hAnsi="宋体" w:cs="宋体"/>
          <w:sz w:val="24"/>
          <w:szCs w:val="24"/>
        </w:rPr>
        <w:t>二、项目概况</w:t>
      </w:r>
      <w:bookmarkEnd w:id="1"/>
      <w:bookmarkEnd w:id="2"/>
      <w:r>
        <w:rPr>
          <w:rFonts w:hint="eastAsia" w:ascii="宋体" w:hAnsi="宋体" w:cs="宋体"/>
          <w:sz w:val="24"/>
          <w:szCs w:val="24"/>
        </w:rPr>
        <w:t xml:space="preserve"> </w:t>
      </w:r>
    </w:p>
    <w:p w14:paraId="30FCC198">
      <w:pPr>
        <w:spacing w:line="360" w:lineRule="auto"/>
        <w:ind w:firstLine="480" w:firstLineChars="200"/>
        <w:rPr>
          <w:rFonts w:ascii="宋体" w:hAnsi="宋体" w:eastAsia="宋体"/>
          <w:sz w:val="24"/>
          <w:szCs w:val="24"/>
        </w:rPr>
      </w:pPr>
      <w:r>
        <w:rPr>
          <w:rFonts w:ascii="宋体" w:hAnsi="宋体" w:eastAsia="宋体"/>
          <w:sz w:val="24"/>
          <w:szCs w:val="24"/>
        </w:rPr>
        <w:t>1</w:t>
      </w:r>
      <w:r>
        <w:rPr>
          <w:rFonts w:hint="eastAsia" w:ascii="宋体" w:hAnsi="宋体" w:eastAsia="宋体"/>
          <w:sz w:val="24"/>
          <w:szCs w:val="24"/>
        </w:rPr>
        <w:t>、项目名称：</w:t>
      </w:r>
      <w:r>
        <w:rPr>
          <w:rFonts w:ascii="宋体" w:hAnsi="宋体" w:eastAsia="宋体"/>
          <w:sz w:val="24"/>
          <w:szCs w:val="24"/>
        </w:rPr>
        <w:t>信息系统安全等级保护测评</w:t>
      </w:r>
      <w:r>
        <w:rPr>
          <w:rFonts w:hint="eastAsia" w:ascii="宋体" w:hAnsi="宋体" w:eastAsia="宋体"/>
          <w:sz w:val="24"/>
          <w:szCs w:val="24"/>
        </w:rPr>
        <w:t>项目</w:t>
      </w:r>
    </w:p>
    <w:p w14:paraId="40F52158">
      <w:pPr>
        <w:spacing w:line="360" w:lineRule="auto"/>
        <w:ind w:firstLine="480" w:firstLineChars="200"/>
        <w:rPr>
          <w:rFonts w:ascii="宋体" w:hAnsi="宋体" w:eastAsia="宋体"/>
          <w:sz w:val="24"/>
          <w:szCs w:val="24"/>
        </w:rPr>
      </w:pPr>
      <w:r>
        <w:rPr>
          <w:rFonts w:hint="eastAsia" w:ascii="宋体" w:hAnsi="宋体" w:eastAsia="宋体"/>
          <w:sz w:val="24"/>
          <w:szCs w:val="24"/>
        </w:rPr>
        <w:t>2、项目工期：在合同签订后</w:t>
      </w:r>
      <w:r>
        <w:rPr>
          <w:rFonts w:hint="eastAsia" w:ascii="宋体" w:hAnsi="宋体" w:eastAsia="宋体"/>
          <w:sz w:val="24"/>
          <w:szCs w:val="24"/>
          <w:lang w:val="en-US" w:eastAsia="zh-CN"/>
        </w:rPr>
        <w:t>15</w:t>
      </w:r>
      <w:r>
        <w:rPr>
          <w:rFonts w:hint="eastAsia" w:ascii="宋体" w:hAnsi="宋体" w:eastAsia="宋体"/>
          <w:sz w:val="24"/>
          <w:szCs w:val="24"/>
        </w:rPr>
        <w:t>个工作日内完成信息系统等级保护差距分析并出具网络安全整改方案，在甲方完成网络安全整改后</w:t>
      </w:r>
      <w:r>
        <w:rPr>
          <w:rFonts w:hint="eastAsia" w:ascii="宋体" w:hAnsi="宋体" w:eastAsia="宋体"/>
          <w:sz w:val="24"/>
          <w:szCs w:val="24"/>
          <w:lang w:val="en-US" w:eastAsia="zh-CN"/>
        </w:rPr>
        <w:t>15</w:t>
      </w:r>
      <w:r>
        <w:rPr>
          <w:rFonts w:hint="eastAsia" w:ascii="宋体" w:hAnsi="宋体" w:eastAsia="宋体"/>
          <w:sz w:val="24"/>
          <w:szCs w:val="24"/>
        </w:rPr>
        <w:t>个工作日内完成信息系统等级保护测评并出具符合国家等级保护格式要求的等级测评报告</w:t>
      </w:r>
      <w:r>
        <w:rPr>
          <w:rFonts w:hint="eastAsia" w:ascii="宋体" w:hAnsi="宋体" w:eastAsia="宋体"/>
          <w:sz w:val="24"/>
          <w:szCs w:val="24"/>
          <w:lang w:eastAsia="zh-CN"/>
        </w:rPr>
        <w:t>。</w:t>
      </w:r>
      <w:r>
        <w:rPr>
          <w:rFonts w:hint="eastAsia" w:ascii="宋体" w:hAnsi="宋体" w:eastAsia="宋体"/>
          <w:sz w:val="24"/>
          <w:szCs w:val="24"/>
        </w:rPr>
        <w:t xml:space="preserve"> </w:t>
      </w:r>
    </w:p>
    <w:p w14:paraId="3AB7B94D">
      <w:pPr>
        <w:spacing w:line="360" w:lineRule="auto"/>
        <w:ind w:firstLine="480" w:firstLineChars="200"/>
        <w:rPr>
          <w:rFonts w:ascii="宋体" w:hAnsi="宋体" w:eastAsia="宋体"/>
          <w:sz w:val="24"/>
          <w:szCs w:val="24"/>
        </w:rPr>
      </w:pPr>
      <w:r>
        <w:rPr>
          <w:rFonts w:hint="eastAsia" w:ascii="宋体" w:hAnsi="宋体" w:eastAsia="宋体"/>
          <w:sz w:val="24"/>
          <w:szCs w:val="24"/>
        </w:rPr>
        <w:t>3、测评对象：</w:t>
      </w:r>
      <w:r>
        <w:rPr>
          <w:rFonts w:hint="eastAsia" w:ascii="宋体" w:hAnsi="宋体" w:eastAsia="宋体"/>
          <w:sz w:val="24"/>
          <w:szCs w:val="24"/>
          <w:u w:val="single"/>
          <w:lang w:val="en-US" w:eastAsia="zh-CN"/>
        </w:rPr>
        <w:t>武汉市地方金融监管系统（等保级别三级）</w:t>
      </w:r>
      <w:r>
        <w:rPr>
          <w:rFonts w:hint="eastAsia" w:ascii="宋体" w:hAnsi="宋体" w:eastAsia="宋体"/>
          <w:sz w:val="24"/>
          <w:szCs w:val="24"/>
        </w:rPr>
        <w:t>按照</w:t>
      </w:r>
      <w:r>
        <w:rPr>
          <w:rFonts w:hint="eastAsia" w:ascii="宋体" w:hAnsi="宋体" w:eastAsia="宋体"/>
          <w:sz w:val="24"/>
          <w:szCs w:val="24"/>
          <w:lang w:val="en-US" w:eastAsia="zh-Hans"/>
        </w:rPr>
        <w:t>相关</w:t>
      </w:r>
      <w:r>
        <w:rPr>
          <w:rFonts w:hint="eastAsia" w:ascii="宋体" w:hAnsi="宋体" w:eastAsia="宋体"/>
          <w:sz w:val="24"/>
          <w:szCs w:val="24"/>
        </w:rPr>
        <w:t xml:space="preserve">技术标准开展等级保护测评。 </w:t>
      </w:r>
    </w:p>
    <w:p w14:paraId="5907FEA5">
      <w:pPr>
        <w:pStyle w:val="4"/>
        <w:spacing w:before="120" w:after="120" w:line="360" w:lineRule="auto"/>
        <w:jc w:val="both"/>
        <w:rPr>
          <w:rFonts w:ascii="宋体" w:hAnsi="宋体" w:cs="宋体"/>
          <w:sz w:val="24"/>
          <w:szCs w:val="24"/>
        </w:rPr>
      </w:pPr>
      <w:r>
        <w:rPr>
          <w:rFonts w:hint="eastAsia" w:ascii="宋体" w:hAnsi="宋体" w:cs="宋体"/>
          <w:sz w:val="24"/>
          <w:szCs w:val="24"/>
        </w:rPr>
        <w:t xml:space="preserve">三、项目需求 </w:t>
      </w:r>
    </w:p>
    <w:p w14:paraId="2D56B040">
      <w:pPr>
        <w:pStyle w:val="7"/>
        <w:spacing w:before="0" w:after="0" w:line="360" w:lineRule="auto"/>
        <w:rPr>
          <w:rFonts w:ascii="宋体" w:hAnsi="宋体" w:eastAsia="宋体"/>
          <w:sz w:val="24"/>
          <w:szCs w:val="24"/>
        </w:rPr>
      </w:pPr>
      <w:r>
        <w:rPr>
          <w:rFonts w:ascii="宋体" w:hAnsi="宋体" w:eastAsia="宋体"/>
          <w:sz w:val="24"/>
          <w:szCs w:val="24"/>
        </w:rPr>
        <w:t xml:space="preserve">3.1 </w:t>
      </w:r>
      <w:r>
        <w:rPr>
          <w:rFonts w:hint="eastAsia" w:ascii="宋体" w:hAnsi="宋体" w:eastAsia="宋体"/>
          <w:sz w:val="24"/>
          <w:szCs w:val="24"/>
        </w:rPr>
        <w:t xml:space="preserve">标准和依据 </w:t>
      </w:r>
    </w:p>
    <w:p w14:paraId="2E2DB910">
      <w:pPr>
        <w:spacing w:line="360" w:lineRule="auto"/>
        <w:ind w:firstLine="480" w:firstLineChars="200"/>
        <w:rPr>
          <w:rFonts w:ascii="宋体" w:hAnsi="宋体" w:eastAsia="宋体"/>
          <w:bCs/>
          <w:sz w:val="24"/>
          <w:szCs w:val="24"/>
        </w:rPr>
      </w:pPr>
      <w:r>
        <w:rPr>
          <w:rFonts w:hint="eastAsia" w:ascii="宋体" w:hAnsi="宋体" w:eastAsia="宋体"/>
          <w:bCs/>
          <w:sz w:val="24"/>
          <w:szCs w:val="24"/>
        </w:rPr>
        <w:t xml:space="preserve">1、本次等级保护测评依据如下法律法规、政策文件执行： </w:t>
      </w:r>
    </w:p>
    <w:p w14:paraId="62E38B4D">
      <w:pPr>
        <w:pStyle w:val="2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 xml:space="preserve">《中华人民共和国网络安全法》   </w:t>
      </w:r>
    </w:p>
    <w:p w14:paraId="03CF124C">
      <w:pPr>
        <w:pStyle w:val="2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 xml:space="preserve">《信息安全等级保护管理办法》公通字[2007]43号 </w:t>
      </w:r>
      <w:r>
        <w:rPr>
          <w:rFonts w:ascii="宋体" w:hAnsi="宋体" w:eastAsia="宋体"/>
          <w:sz w:val="24"/>
          <w:szCs w:val="24"/>
        </w:rPr>
        <w:t xml:space="preserve"> </w:t>
      </w:r>
    </w:p>
    <w:p w14:paraId="196FB40F">
      <w:pPr>
        <w:spacing w:line="360" w:lineRule="auto"/>
        <w:ind w:firstLine="480" w:firstLineChars="200"/>
        <w:rPr>
          <w:rFonts w:ascii="宋体" w:hAnsi="宋体" w:eastAsia="宋体"/>
          <w:bCs/>
          <w:sz w:val="24"/>
          <w:szCs w:val="24"/>
        </w:rPr>
      </w:pPr>
      <w:r>
        <w:rPr>
          <w:rFonts w:hint="eastAsia" w:ascii="宋体" w:hAnsi="宋体" w:eastAsia="宋体"/>
          <w:bCs/>
          <w:sz w:val="24"/>
          <w:szCs w:val="24"/>
        </w:rPr>
        <w:t xml:space="preserve">2、本次等级保护测评参照以下技术标准（项目执行期间，如国家技术标准调整，按新生效的标准执行）： </w:t>
      </w:r>
    </w:p>
    <w:p w14:paraId="7106CE35">
      <w:pPr>
        <w:pStyle w:val="2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《计算机信息系统安全保护等级划分准则》(GB17859-1999)</w:t>
      </w:r>
      <w:r>
        <w:rPr>
          <w:rFonts w:ascii="宋体" w:hAnsi="宋体" w:eastAsia="宋体"/>
          <w:sz w:val="24"/>
          <w:szCs w:val="24"/>
        </w:rPr>
        <w:t xml:space="preserve"> </w:t>
      </w:r>
    </w:p>
    <w:p w14:paraId="76F181EB">
      <w:pPr>
        <w:pStyle w:val="2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 xml:space="preserve">《信息安全技术 网络安全等级保护基本要求》（GB/T 22239-2019） </w:t>
      </w:r>
    </w:p>
    <w:p w14:paraId="18484238">
      <w:pPr>
        <w:pStyle w:val="2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《信息安全技术</w:t>
      </w:r>
      <w:r>
        <w:rPr>
          <w:rFonts w:hint="default" w:ascii="宋体" w:hAnsi="宋体" w:eastAsia="宋体"/>
          <w:sz w:val="24"/>
          <w:szCs w:val="24"/>
        </w:rPr>
        <w:t xml:space="preserve"> </w:t>
      </w:r>
      <w:r>
        <w:rPr>
          <w:rFonts w:hint="eastAsia" w:ascii="宋体" w:hAnsi="宋体" w:eastAsia="宋体"/>
          <w:sz w:val="24"/>
          <w:szCs w:val="24"/>
        </w:rPr>
        <w:t>网络安全等级保护定级指南》(GB/T 22240-20</w:t>
      </w:r>
      <w:r>
        <w:rPr>
          <w:rFonts w:hint="default" w:ascii="宋体" w:hAnsi="宋体" w:eastAsia="宋体"/>
          <w:sz w:val="24"/>
          <w:szCs w:val="24"/>
        </w:rPr>
        <w:t>20</w:t>
      </w:r>
      <w:r>
        <w:rPr>
          <w:rFonts w:hint="eastAsia" w:ascii="宋体" w:hAnsi="宋体" w:eastAsia="宋体"/>
          <w:sz w:val="24"/>
          <w:szCs w:val="24"/>
        </w:rPr>
        <w:t>)</w:t>
      </w:r>
      <w:r>
        <w:rPr>
          <w:rFonts w:ascii="宋体" w:hAnsi="宋体" w:eastAsia="宋体"/>
          <w:sz w:val="24"/>
          <w:szCs w:val="24"/>
        </w:rPr>
        <w:t xml:space="preserve"> </w:t>
      </w:r>
    </w:p>
    <w:p w14:paraId="52C2385A">
      <w:pPr>
        <w:pStyle w:val="26"/>
        <w:numPr>
          <w:ilvl w:val="0"/>
          <w:numId w:val="1"/>
        </w:numPr>
        <w:spacing w:line="360" w:lineRule="auto"/>
        <w:ind w:firstLineChars="0"/>
        <w:rPr>
          <w:rFonts w:ascii="宋体" w:hAnsi="宋体" w:eastAsia="宋体"/>
          <w:sz w:val="24"/>
          <w:szCs w:val="24"/>
        </w:rPr>
      </w:pPr>
      <w:r>
        <w:rPr>
          <w:rFonts w:hint="eastAsia" w:ascii="宋体" w:hAnsi="宋体" w:eastAsia="宋体"/>
          <w:sz w:val="24"/>
          <w:szCs w:val="24"/>
        </w:rPr>
        <w:t>《信息安全技术</w:t>
      </w:r>
      <w:r>
        <w:rPr>
          <w:rFonts w:hint="default" w:ascii="宋体" w:hAnsi="宋体" w:eastAsia="宋体"/>
          <w:sz w:val="24"/>
          <w:szCs w:val="24"/>
        </w:rPr>
        <w:t xml:space="preserve"> </w:t>
      </w:r>
      <w:r>
        <w:rPr>
          <w:rFonts w:hint="eastAsia" w:ascii="宋体" w:hAnsi="宋体" w:eastAsia="宋体"/>
          <w:sz w:val="24"/>
          <w:szCs w:val="24"/>
        </w:rPr>
        <w:t>网络安全等级保护测评要求》（GB/T 28448-201</w:t>
      </w:r>
      <w:r>
        <w:rPr>
          <w:rFonts w:hint="default" w:ascii="宋体" w:hAnsi="宋体" w:eastAsia="宋体"/>
          <w:sz w:val="24"/>
          <w:szCs w:val="24"/>
        </w:rPr>
        <w:t>9</w:t>
      </w:r>
      <w:r>
        <w:rPr>
          <w:rFonts w:hint="eastAsia" w:ascii="宋体" w:hAnsi="宋体" w:eastAsia="宋体"/>
          <w:sz w:val="24"/>
          <w:szCs w:val="24"/>
        </w:rPr>
        <w:t xml:space="preserve">） </w:t>
      </w:r>
    </w:p>
    <w:p w14:paraId="118E7CE8">
      <w:pPr>
        <w:pStyle w:val="6"/>
        <w:ind w:firstLine="0" w:firstLineChars="0"/>
      </w:pPr>
    </w:p>
    <w:p w14:paraId="5D07C4B2">
      <w:pPr>
        <w:pStyle w:val="7"/>
        <w:spacing w:before="0" w:after="0" w:line="360" w:lineRule="auto"/>
        <w:rPr>
          <w:rFonts w:ascii="宋体" w:hAnsi="宋体" w:eastAsia="宋体"/>
          <w:sz w:val="24"/>
          <w:szCs w:val="24"/>
        </w:rPr>
      </w:pPr>
      <w:r>
        <w:rPr>
          <w:rFonts w:hint="eastAsia" w:ascii="宋体" w:hAnsi="宋体" w:eastAsia="宋体"/>
          <w:sz w:val="24"/>
          <w:szCs w:val="24"/>
        </w:rPr>
        <w:t>3</w:t>
      </w:r>
      <w:r>
        <w:rPr>
          <w:rFonts w:ascii="宋体" w:hAnsi="宋体" w:eastAsia="宋体"/>
          <w:sz w:val="24"/>
          <w:szCs w:val="24"/>
        </w:rPr>
        <w:t xml:space="preserve">.2 </w:t>
      </w:r>
      <w:r>
        <w:rPr>
          <w:rFonts w:hint="eastAsia" w:ascii="宋体" w:hAnsi="宋体" w:eastAsia="宋体"/>
          <w:sz w:val="24"/>
          <w:szCs w:val="24"/>
        </w:rPr>
        <w:t>等级保护测评服务</w:t>
      </w:r>
      <w:r>
        <w:rPr>
          <w:rFonts w:ascii="宋体" w:hAnsi="宋体" w:eastAsia="宋体"/>
          <w:sz w:val="24"/>
          <w:szCs w:val="24"/>
        </w:rPr>
        <w:t xml:space="preserve"> </w:t>
      </w:r>
    </w:p>
    <w:p w14:paraId="0F58D42B">
      <w:pPr>
        <w:pStyle w:val="8"/>
        <w:spacing w:before="0" w:after="0" w:line="360" w:lineRule="auto"/>
        <w:rPr>
          <w:rFonts w:ascii="宋体" w:hAnsi="宋体" w:eastAsia="宋体"/>
          <w:sz w:val="24"/>
          <w:szCs w:val="24"/>
        </w:rPr>
      </w:pPr>
      <w:r>
        <w:rPr>
          <w:rFonts w:ascii="宋体" w:hAnsi="宋体" w:eastAsia="宋体"/>
          <w:sz w:val="24"/>
          <w:szCs w:val="24"/>
        </w:rPr>
        <w:t>3.2.</w:t>
      </w:r>
      <w:r>
        <w:rPr>
          <w:rFonts w:hint="eastAsia" w:ascii="宋体" w:hAnsi="宋体" w:eastAsia="宋体"/>
          <w:sz w:val="24"/>
          <w:szCs w:val="24"/>
          <w:lang w:val="en-US" w:eastAsia="zh-CN"/>
        </w:rPr>
        <w:t>1网络安全等级保护差距分析服务</w:t>
      </w:r>
    </w:p>
    <w:p w14:paraId="526ED78B">
      <w:pPr>
        <w:spacing w:line="360" w:lineRule="auto"/>
        <w:ind w:firstLine="480" w:firstLineChars="200"/>
        <w:rPr>
          <w:rFonts w:ascii="宋体" w:hAnsi="宋体" w:eastAsia="宋体"/>
          <w:sz w:val="24"/>
          <w:szCs w:val="24"/>
        </w:rPr>
      </w:pPr>
      <w:r>
        <w:rPr>
          <w:rFonts w:hint="eastAsia" w:ascii="宋体" w:hAnsi="宋体" w:eastAsia="宋体"/>
          <w:sz w:val="24"/>
          <w:szCs w:val="24"/>
        </w:rPr>
        <w:t>依据《信息安全技术 网络安全等级保护基本要求》(GB/T22239-2019)、《信息安全技术 网络安全等级保护测评要求》(GB/T28448-2019)、《信息安全技术 信息安全风险评估规范》(GB/T20984-2022)等标准和中国合格评定国家认可委员会检验机构认可资质等要求，投标人在服务期内对采购人招标范围内的信息系统提供差距分析服务，通过差距分析服务分析信息系统现状和等级保护基本要求之间的差距点。</w:t>
      </w:r>
    </w:p>
    <w:p w14:paraId="71BEC3B7">
      <w:pPr>
        <w:pStyle w:val="8"/>
        <w:spacing w:before="0" w:after="0" w:line="360" w:lineRule="auto"/>
        <w:rPr>
          <w:rFonts w:ascii="宋体" w:hAnsi="宋体" w:eastAsia="宋体"/>
          <w:sz w:val="24"/>
          <w:szCs w:val="24"/>
        </w:rPr>
      </w:pPr>
      <w:r>
        <w:rPr>
          <w:rFonts w:ascii="宋体" w:hAnsi="宋体" w:eastAsia="宋体"/>
          <w:sz w:val="24"/>
          <w:szCs w:val="24"/>
        </w:rPr>
        <w:t>3.2.</w:t>
      </w:r>
      <w:r>
        <w:rPr>
          <w:rFonts w:hint="eastAsia" w:ascii="宋体" w:hAnsi="宋体" w:eastAsia="宋体"/>
          <w:sz w:val="24"/>
          <w:szCs w:val="24"/>
          <w:lang w:val="en-US" w:eastAsia="zh-CN"/>
        </w:rPr>
        <w:t>2网络安全等级保护整改咨询服务</w:t>
      </w:r>
    </w:p>
    <w:p w14:paraId="33E125A8">
      <w:pPr>
        <w:spacing w:line="360" w:lineRule="auto"/>
        <w:ind w:firstLine="480" w:firstLineChars="200"/>
        <w:rPr>
          <w:rFonts w:ascii="宋体" w:hAnsi="宋体" w:eastAsia="宋体"/>
          <w:sz w:val="24"/>
          <w:szCs w:val="24"/>
        </w:rPr>
      </w:pPr>
      <w:r>
        <w:rPr>
          <w:rFonts w:hint="eastAsia" w:ascii="宋体" w:hAnsi="宋体" w:eastAsia="宋体"/>
          <w:sz w:val="24"/>
          <w:szCs w:val="24"/>
        </w:rPr>
        <w:t>进行差距性测评后，分析差距点，出具对应的等级保护整改方案，由等级保护测评师或网络规划设计师为采购方安全整改提供咨询服务，指导采购方完成测评信息系统的安全整改和信息系统安全防护措施，协助规划和完善整体安全架构和安全管理相关制度。</w:t>
      </w:r>
    </w:p>
    <w:p w14:paraId="7A891385">
      <w:pPr>
        <w:pStyle w:val="8"/>
        <w:spacing w:before="0" w:after="0" w:line="360" w:lineRule="auto"/>
        <w:rPr>
          <w:rFonts w:ascii="宋体" w:hAnsi="宋体" w:eastAsia="宋体"/>
          <w:sz w:val="24"/>
          <w:szCs w:val="24"/>
        </w:rPr>
      </w:pPr>
      <w:r>
        <w:rPr>
          <w:rFonts w:hint="eastAsia" w:ascii="宋体" w:hAnsi="宋体" w:eastAsia="宋体"/>
          <w:sz w:val="24"/>
          <w:szCs w:val="24"/>
        </w:rPr>
        <w:t>3</w:t>
      </w:r>
      <w:r>
        <w:rPr>
          <w:rFonts w:ascii="宋体" w:hAnsi="宋体" w:eastAsia="宋体"/>
          <w:sz w:val="24"/>
          <w:szCs w:val="24"/>
        </w:rPr>
        <w:t>.2.</w:t>
      </w:r>
      <w:r>
        <w:rPr>
          <w:rFonts w:hint="eastAsia" w:ascii="宋体" w:hAnsi="宋体" w:eastAsia="宋体"/>
          <w:sz w:val="24"/>
          <w:szCs w:val="24"/>
          <w:lang w:val="en-US" w:eastAsia="zh-CN"/>
        </w:rPr>
        <w:t>3</w:t>
      </w:r>
      <w:r>
        <w:rPr>
          <w:rFonts w:ascii="宋体" w:hAnsi="宋体" w:eastAsia="宋体"/>
          <w:sz w:val="24"/>
          <w:szCs w:val="24"/>
        </w:rPr>
        <w:t xml:space="preserve"> </w:t>
      </w:r>
      <w:r>
        <w:rPr>
          <w:rFonts w:hint="eastAsia" w:ascii="宋体" w:hAnsi="宋体" w:eastAsia="宋体"/>
          <w:sz w:val="24"/>
          <w:szCs w:val="24"/>
        </w:rPr>
        <w:t xml:space="preserve"> 网络安全等级保护测评服务</w:t>
      </w:r>
      <w:r>
        <w:rPr>
          <w:rFonts w:ascii="宋体" w:hAnsi="宋体" w:eastAsia="宋体"/>
          <w:sz w:val="24"/>
          <w:szCs w:val="24"/>
        </w:rPr>
        <w:t xml:space="preserve"> </w:t>
      </w:r>
    </w:p>
    <w:p w14:paraId="59F25838">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依据《信息安全技术 网络安全等级保护基本要求》(GB/T22239-2019)、《信息安全技术 网络安全等级保护测评要求》(GB/T28448-2019)、《信息安全技术网络安全等级保护测评过程指南》(GB/T28449-2018)、《信息安全技术信息安全风险评估规范》(GB/T20984-2022)等标准的要求，投标人在服务期内对招标人招标范围内的信息系统提供等级保护测评服务，参与测评服务人员需具备初级（含）以上测评师证书或软考信息安全工程师，并出具符合有关部门规定要求的网络安全等级保护格式的等级测评报告。</w:t>
      </w:r>
    </w:p>
    <w:p w14:paraId="44CDB64A">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测评内容应包括但不限于以下内容：</w:t>
      </w:r>
    </w:p>
    <w:p w14:paraId="25BAFCBA">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（1）安全技术测评：包括安全物理环境、安全通信网络、安全区域边界、安全计算环境、安全管理中心等五个方面的安全测评；</w:t>
      </w:r>
    </w:p>
    <w:p w14:paraId="461CA7F3">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 xml:space="preserve">（2）安全管理测评：包括安全管理制度、安全管理机构、安全管理人员、安全建设管理、安全运维管理等五个方面的安全测评； </w:t>
      </w:r>
    </w:p>
    <w:p w14:paraId="3A8E98EA">
      <w:pPr>
        <w:spacing w:line="360" w:lineRule="auto"/>
        <w:ind w:firstLine="480" w:firstLineChars="200"/>
        <w:rPr>
          <w:rFonts w:ascii="宋体" w:hAnsi="宋体" w:eastAsia="宋体"/>
          <w:sz w:val="24"/>
          <w:szCs w:val="24"/>
        </w:rPr>
      </w:pPr>
      <w:r>
        <w:rPr>
          <w:rFonts w:hint="eastAsia" w:ascii="宋体" w:hAnsi="宋体" w:eastAsia="宋体"/>
          <w:sz w:val="24"/>
          <w:szCs w:val="24"/>
        </w:rPr>
        <w:t>（3）系统整体测评：单元测评完成后，由中级（含）以上测评师或</w:t>
      </w:r>
      <w:r>
        <w:rPr>
          <w:rFonts w:hint="eastAsia" w:ascii="宋体" w:hAnsi="宋体" w:eastAsia="宋体"/>
          <w:sz w:val="24"/>
          <w:szCs w:val="24"/>
          <w:lang w:eastAsia="zh-CN"/>
        </w:rPr>
        <w:t>网络规划设计师</w:t>
      </w:r>
      <w:r>
        <w:rPr>
          <w:rFonts w:hint="eastAsia" w:ascii="宋体" w:hAnsi="宋体" w:eastAsia="宋体"/>
          <w:sz w:val="24"/>
          <w:szCs w:val="24"/>
        </w:rPr>
        <w:t xml:space="preserve">进行系统整体测评，包括安全控制点间安全测评、区域间测评。 </w:t>
      </w:r>
    </w:p>
    <w:p w14:paraId="54ACC052">
      <w:pPr>
        <w:pStyle w:val="4"/>
        <w:spacing w:before="120" w:after="120" w:line="360" w:lineRule="auto"/>
        <w:jc w:val="both"/>
        <w:rPr>
          <w:rFonts w:ascii="宋体" w:hAnsi="宋体" w:cs="宋体"/>
          <w:sz w:val="24"/>
          <w:szCs w:val="24"/>
        </w:rPr>
      </w:pPr>
      <w:bookmarkStart w:id="3" w:name="_bookmark58"/>
      <w:bookmarkEnd w:id="3"/>
      <w:bookmarkStart w:id="4" w:name="BookMK123"/>
      <w:bookmarkEnd w:id="4"/>
      <w:bookmarkStart w:id="5" w:name="_Toc23072257"/>
      <w:r>
        <w:rPr>
          <w:rFonts w:hint="eastAsia" w:ascii="宋体" w:hAnsi="宋体" w:cs="宋体"/>
          <w:sz w:val="24"/>
          <w:szCs w:val="24"/>
        </w:rPr>
        <w:t>四、服务要求</w:t>
      </w:r>
      <w:bookmarkEnd w:id="5"/>
    </w:p>
    <w:p w14:paraId="354F2C27">
      <w:pPr>
        <w:pStyle w:val="7"/>
        <w:spacing w:before="0" w:after="0" w:line="360" w:lineRule="auto"/>
        <w:rPr>
          <w:rFonts w:ascii="宋体" w:hAnsi="宋体" w:eastAsia="宋体"/>
          <w:sz w:val="24"/>
          <w:szCs w:val="24"/>
        </w:rPr>
      </w:pPr>
      <w:bookmarkStart w:id="6" w:name="_Toc23072258"/>
      <w:r>
        <w:rPr>
          <w:rFonts w:hint="eastAsia" w:ascii="宋体" w:hAnsi="宋体" w:eastAsia="宋体"/>
          <w:sz w:val="24"/>
          <w:szCs w:val="24"/>
        </w:rPr>
        <w:t>4</w:t>
      </w:r>
      <w:r>
        <w:rPr>
          <w:rFonts w:ascii="宋体" w:hAnsi="宋体" w:eastAsia="宋体"/>
          <w:sz w:val="24"/>
          <w:szCs w:val="24"/>
        </w:rPr>
        <w:t xml:space="preserve">.1 </w:t>
      </w:r>
      <w:r>
        <w:rPr>
          <w:rFonts w:hint="eastAsia" w:ascii="宋体" w:hAnsi="宋体" w:eastAsia="宋体"/>
          <w:sz w:val="24"/>
          <w:szCs w:val="24"/>
        </w:rPr>
        <w:t>实施要求</w:t>
      </w:r>
      <w:bookmarkEnd w:id="6"/>
      <w:r>
        <w:rPr>
          <w:rFonts w:ascii="宋体" w:hAnsi="宋体" w:eastAsia="宋体"/>
          <w:sz w:val="24"/>
          <w:szCs w:val="24"/>
        </w:rPr>
        <w:t xml:space="preserve"> </w:t>
      </w:r>
    </w:p>
    <w:p w14:paraId="25DAD73D">
      <w:pPr>
        <w:spacing w:line="360" w:lineRule="auto"/>
        <w:ind w:firstLine="480" w:firstLineChars="200"/>
        <w:rPr>
          <w:rFonts w:ascii="宋体" w:hAnsi="宋体" w:eastAsia="宋体"/>
          <w:sz w:val="24"/>
        </w:rPr>
      </w:pPr>
      <w:r>
        <w:rPr>
          <w:rFonts w:hint="eastAsia" w:ascii="宋体" w:hAnsi="宋体" w:eastAsia="宋体"/>
          <w:sz w:val="24"/>
        </w:rPr>
        <w:t>本次项目测评实施及安全服务必须满足以下要求：</w:t>
      </w:r>
    </w:p>
    <w:p w14:paraId="6143039B">
      <w:pPr>
        <w:spacing w:line="360" w:lineRule="auto"/>
        <w:ind w:firstLine="480" w:firstLineChars="200"/>
        <w:rPr>
          <w:rFonts w:ascii="宋体" w:hAnsi="宋体" w:eastAsia="宋体"/>
          <w:sz w:val="24"/>
        </w:rPr>
      </w:pPr>
      <w:r>
        <w:rPr>
          <w:rFonts w:hint="eastAsia" w:ascii="宋体" w:hAnsi="宋体" w:eastAsia="宋体"/>
          <w:sz w:val="24"/>
        </w:rPr>
        <w:t xml:space="preserve">1、最小影响要求：投标人在测评实施过程中必须保证系统的正常运行，不得导致系统运行中断或服务性能明显下降，尽可能降低对系统的负面影响。在进行有风险的操作前必须出具书面材料，明确风险提示，指导采购人做好应急措施，征得采购人书面许可后并选择业务低峰期进行下一步操作。 </w:t>
      </w:r>
    </w:p>
    <w:p w14:paraId="07E5CE17">
      <w:pPr>
        <w:spacing w:line="360" w:lineRule="auto"/>
        <w:ind w:firstLine="480" w:firstLineChars="200"/>
        <w:rPr>
          <w:rFonts w:ascii="宋体" w:hAnsi="宋体" w:eastAsia="宋体"/>
          <w:sz w:val="24"/>
        </w:rPr>
      </w:pPr>
      <w:r>
        <w:rPr>
          <w:rFonts w:hint="eastAsia" w:ascii="宋体" w:hAnsi="宋体" w:eastAsia="宋体"/>
          <w:sz w:val="24"/>
        </w:rPr>
        <w:t xml:space="preserve">2、保密要求：对测评或技术服务过程中获取的信息严格保密，包括但不限于采购人网络拓扑结构、IP地址、业务流程、业务数据、安全隐患等，未经授权不得泄露给任何单位和个人，不得利用保密信息进行任何侵害采购人的合法权益。 </w:t>
      </w:r>
    </w:p>
    <w:p w14:paraId="738A198B">
      <w:pPr>
        <w:spacing w:line="360" w:lineRule="auto"/>
        <w:ind w:firstLine="480" w:firstLineChars="200"/>
        <w:rPr>
          <w:rFonts w:ascii="宋体" w:hAnsi="宋体" w:eastAsia="宋体"/>
          <w:sz w:val="24"/>
        </w:rPr>
      </w:pPr>
      <w:r>
        <w:rPr>
          <w:rFonts w:hint="eastAsia" w:ascii="宋体" w:hAnsi="宋体" w:eastAsia="宋体"/>
          <w:sz w:val="24"/>
        </w:rPr>
        <w:t xml:space="preserve">3、客观公正性要求：项目实施过程中，必须接受采购人的监督，每个测评环节完成后均由采购人进行审核确认，确保测评工作客观公正性。  </w:t>
      </w:r>
    </w:p>
    <w:p w14:paraId="261508C4">
      <w:pPr>
        <w:spacing w:line="360" w:lineRule="auto"/>
        <w:ind w:firstLine="480" w:firstLineChars="200"/>
        <w:rPr>
          <w:rFonts w:ascii="宋体" w:hAnsi="宋体" w:eastAsia="宋体"/>
          <w:sz w:val="24"/>
        </w:rPr>
      </w:pPr>
      <w:r>
        <w:rPr>
          <w:rFonts w:hint="eastAsia" w:ascii="宋体" w:hAnsi="宋体" w:eastAsia="宋体"/>
          <w:sz w:val="24"/>
        </w:rPr>
        <w:t>4、规范性要求：测评实施等必须严格按照国家商用密码应用安全性评估相关标准进行。投标人须有严格质量控制体系,具备I</w:t>
      </w:r>
      <w:r>
        <w:rPr>
          <w:rFonts w:ascii="宋体" w:hAnsi="宋体" w:eastAsia="宋体"/>
          <w:sz w:val="24"/>
        </w:rPr>
        <w:t>SO9001</w:t>
      </w:r>
      <w:r>
        <w:rPr>
          <w:rFonts w:hint="eastAsia" w:ascii="宋体" w:hAnsi="宋体" w:eastAsia="宋体"/>
          <w:sz w:val="24"/>
        </w:rPr>
        <w:t>质量认证体系或I</w:t>
      </w:r>
      <w:r>
        <w:rPr>
          <w:rFonts w:ascii="宋体" w:hAnsi="宋体" w:eastAsia="宋体"/>
          <w:sz w:val="24"/>
        </w:rPr>
        <w:t>SO20000</w:t>
      </w:r>
      <w:r>
        <w:rPr>
          <w:rFonts w:hint="eastAsia" w:ascii="宋体" w:hAnsi="宋体" w:eastAsia="宋体"/>
          <w:sz w:val="24"/>
        </w:rPr>
        <w:t>或C</w:t>
      </w:r>
      <w:r>
        <w:rPr>
          <w:rFonts w:ascii="宋体" w:hAnsi="宋体" w:eastAsia="宋体"/>
          <w:sz w:val="24"/>
        </w:rPr>
        <w:t>NAS</w:t>
      </w:r>
      <w:r>
        <w:rPr>
          <w:rFonts w:hint="eastAsia" w:ascii="宋体" w:hAnsi="宋体" w:eastAsia="宋体"/>
          <w:sz w:val="24"/>
        </w:rPr>
        <w:t>检验机构认可资质，并参照I</w:t>
      </w:r>
      <w:r>
        <w:rPr>
          <w:rFonts w:ascii="宋体" w:hAnsi="宋体" w:eastAsia="宋体"/>
          <w:sz w:val="24"/>
        </w:rPr>
        <w:t>SO9001</w:t>
      </w:r>
      <w:r>
        <w:rPr>
          <w:rFonts w:hint="eastAsia" w:ascii="宋体" w:hAnsi="宋体" w:eastAsia="宋体"/>
          <w:sz w:val="24"/>
        </w:rPr>
        <w:t>或I</w:t>
      </w:r>
      <w:r>
        <w:rPr>
          <w:rFonts w:ascii="宋体" w:hAnsi="宋体" w:eastAsia="宋体"/>
          <w:sz w:val="24"/>
        </w:rPr>
        <w:t>SO20000</w:t>
      </w:r>
      <w:r>
        <w:rPr>
          <w:rFonts w:hint="eastAsia" w:ascii="宋体" w:hAnsi="宋体" w:eastAsia="宋体"/>
          <w:sz w:val="24"/>
        </w:rPr>
        <w:t>或C</w:t>
      </w:r>
      <w:r>
        <w:rPr>
          <w:rFonts w:ascii="宋体" w:hAnsi="宋体" w:eastAsia="宋体"/>
          <w:sz w:val="24"/>
        </w:rPr>
        <w:t>NAS</w:t>
      </w:r>
      <w:r>
        <w:rPr>
          <w:rFonts w:hint="eastAsia" w:ascii="宋体" w:hAnsi="宋体" w:eastAsia="宋体"/>
          <w:sz w:val="24"/>
        </w:rPr>
        <w:t xml:space="preserve">检验检测体系流程规范实施过程。 </w:t>
      </w:r>
    </w:p>
    <w:p w14:paraId="49A2E043">
      <w:pPr>
        <w:spacing w:line="360" w:lineRule="auto"/>
        <w:ind w:firstLine="480" w:firstLineChars="200"/>
        <w:rPr>
          <w:rFonts w:hint="eastAsia" w:ascii="宋体" w:hAnsi="宋体" w:eastAsia="宋体"/>
          <w:sz w:val="24"/>
        </w:rPr>
      </w:pPr>
      <w:r>
        <w:rPr>
          <w:rFonts w:hint="eastAsia" w:ascii="宋体" w:hAnsi="宋体" w:eastAsia="宋体"/>
          <w:sz w:val="24"/>
        </w:rPr>
        <w:t>5、可控性要求：项目实施必须制定严格的实施计划及进度安排，经采购人审核确认后执行，确保项目实施的可控性。</w:t>
      </w:r>
    </w:p>
    <w:p w14:paraId="4348199C">
      <w:pPr>
        <w:spacing w:line="360" w:lineRule="auto"/>
        <w:ind w:firstLine="480" w:firstLineChars="200"/>
        <w:rPr>
          <w:rFonts w:hint="default" w:ascii="宋体" w:hAnsi="宋体" w:eastAsia="宋体"/>
          <w:sz w:val="24"/>
        </w:rPr>
      </w:pPr>
      <w:r>
        <w:rPr>
          <w:rFonts w:hint="default" w:ascii="宋体" w:hAnsi="宋体" w:eastAsia="宋体"/>
          <w:sz w:val="24"/>
        </w:rPr>
        <w:t>6、</w:t>
      </w:r>
      <w:r>
        <w:rPr>
          <w:rFonts w:hint="eastAsia" w:ascii="宋体" w:hAnsi="宋体" w:eastAsia="宋体"/>
          <w:sz w:val="24"/>
          <w:lang w:val="en-US" w:eastAsia="zh-Hans"/>
        </w:rPr>
        <w:t>人员要求</w:t>
      </w:r>
      <w:r>
        <w:rPr>
          <w:rFonts w:hint="default" w:ascii="宋体" w:hAnsi="宋体" w:eastAsia="宋体"/>
          <w:sz w:val="24"/>
          <w:lang w:eastAsia="zh-Hans"/>
        </w:rPr>
        <w:t>：</w:t>
      </w:r>
      <w:r>
        <w:rPr>
          <w:rFonts w:hint="eastAsia" w:ascii="宋体" w:hAnsi="宋体" w:eastAsia="宋体" w:cs="宋体"/>
          <w:bCs/>
          <w:color w:val="000000"/>
          <w:sz w:val="24"/>
        </w:rPr>
        <w:t>参与项目的测评人员不少于</w:t>
      </w:r>
      <w:r>
        <w:rPr>
          <w:rFonts w:hint="eastAsia" w:ascii="宋体" w:hAnsi="宋体" w:eastAsia="宋体" w:cs="宋体"/>
          <w:bCs/>
          <w:color w:val="000000"/>
          <w:sz w:val="24"/>
          <w:lang w:val="en-US" w:eastAsia="zh-CN"/>
        </w:rPr>
        <w:t>5</w:t>
      </w:r>
      <w:r>
        <w:rPr>
          <w:rFonts w:hint="eastAsia" w:ascii="宋体" w:hAnsi="宋体" w:eastAsia="宋体" w:cs="宋体"/>
          <w:bCs/>
          <w:color w:val="000000"/>
          <w:sz w:val="24"/>
        </w:rPr>
        <w:t>人，需具备专业的测评能力，参与测评服务人员须具备初级（含）以上测评师资质证书，其中技术负责人须具备中级（含）以上测评师资质或高级信息系统项目管理师、</w:t>
      </w:r>
      <w:r>
        <w:rPr>
          <w:rFonts w:hint="eastAsia" w:ascii="宋体" w:hAnsi="宋体" w:eastAsia="宋体"/>
          <w:sz w:val="24"/>
        </w:rPr>
        <w:t>网络规划设计师</w:t>
      </w:r>
      <w:r>
        <w:rPr>
          <w:rFonts w:hint="eastAsia" w:ascii="宋体" w:hAnsi="宋体" w:eastAsia="宋体" w:cs="宋体"/>
          <w:bCs/>
          <w:color w:val="000000"/>
          <w:sz w:val="24"/>
        </w:rPr>
        <w:t>资质，具备丰富的技术和项目管理能力</w:t>
      </w:r>
      <w:r>
        <w:rPr>
          <w:rFonts w:hint="default" w:ascii="宋体" w:hAnsi="宋体" w:eastAsia="宋体" w:cs="宋体"/>
          <w:bCs/>
          <w:color w:val="000000"/>
          <w:sz w:val="24"/>
        </w:rPr>
        <w:t>。</w:t>
      </w:r>
    </w:p>
    <w:p w14:paraId="70C959A1">
      <w:pPr>
        <w:pStyle w:val="7"/>
        <w:spacing w:before="0" w:after="0" w:line="360" w:lineRule="auto"/>
        <w:rPr>
          <w:rFonts w:ascii="宋体" w:hAnsi="宋体" w:eastAsia="宋体"/>
          <w:sz w:val="24"/>
          <w:szCs w:val="24"/>
        </w:rPr>
      </w:pPr>
      <w:bookmarkStart w:id="7" w:name="_Toc23072260"/>
      <w:r>
        <w:rPr>
          <w:rFonts w:hint="eastAsia" w:ascii="宋体" w:hAnsi="宋体" w:eastAsia="宋体"/>
          <w:sz w:val="24"/>
          <w:szCs w:val="24"/>
        </w:rPr>
        <w:t>4</w:t>
      </w:r>
      <w:r>
        <w:rPr>
          <w:rFonts w:ascii="宋体" w:hAnsi="宋体" w:eastAsia="宋体"/>
          <w:sz w:val="24"/>
          <w:szCs w:val="24"/>
        </w:rPr>
        <w:t xml:space="preserve">.2 </w:t>
      </w:r>
      <w:r>
        <w:rPr>
          <w:rFonts w:hint="eastAsia" w:ascii="宋体" w:hAnsi="宋体" w:eastAsia="宋体"/>
          <w:sz w:val="24"/>
          <w:szCs w:val="24"/>
        </w:rPr>
        <w:t>检测工具配备</w:t>
      </w:r>
      <w:bookmarkEnd w:id="7"/>
      <w:r>
        <w:rPr>
          <w:rFonts w:ascii="宋体" w:hAnsi="宋体" w:eastAsia="宋体"/>
          <w:sz w:val="24"/>
          <w:szCs w:val="24"/>
        </w:rPr>
        <w:t xml:space="preserve"> </w:t>
      </w:r>
    </w:p>
    <w:p w14:paraId="621E0C90">
      <w:pPr>
        <w:spacing w:line="360" w:lineRule="auto"/>
        <w:ind w:firstLine="480" w:firstLineChars="200"/>
        <w:rPr>
          <w:rFonts w:ascii="宋体" w:hAnsi="宋体" w:eastAsia="宋体" w:cs="宋体"/>
          <w:bCs/>
          <w:color w:val="000000"/>
          <w:sz w:val="24"/>
        </w:rPr>
      </w:pPr>
      <w:r>
        <w:rPr>
          <w:rFonts w:hint="eastAsia" w:ascii="宋体" w:hAnsi="宋体" w:eastAsia="宋体"/>
          <w:sz w:val="24"/>
        </w:rPr>
        <w:t xml:space="preserve">投标人应具备专业的漏洞检测工具，其功能应包含Web应用扫描工具或模块、主流虚拟机扫描管理系统、弱口令检测等功能，检测前工具应进行校准并升级至最新版本。 </w:t>
      </w:r>
    </w:p>
    <w:p w14:paraId="7DD46C8A">
      <w:pPr>
        <w:pStyle w:val="7"/>
        <w:spacing w:before="0" w:after="0" w:line="360" w:lineRule="auto"/>
        <w:rPr>
          <w:rFonts w:ascii="宋体" w:hAnsi="宋体" w:eastAsia="宋体"/>
          <w:sz w:val="24"/>
          <w:szCs w:val="24"/>
        </w:rPr>
      </w:pPr>
      <w:bookmarkStart w:id="8" w:name="_Toc23072262"/>
      <w:r>
        <w:rPr>
          <w:rFonts w:hint="eastAsia" w:ascii="宋体" w:hAnsi="宋体" w:eastAsia="宋体"/>
          <w:sz w:val="24"/>
          <w:szCs w:val="24"/>
        </w:rPr>
        <w:t>4</w:t>
      </w:r>
      <w:r>
        <w:rPr>
          <w:rFonts w:ascii="宋体" w:hAnsi="宋体" w:eastAsia="宋体"/>
          <w:sz w:val="24"/>
          <w:szCs w:val="24"/>
        </w:rPr>
        <w:t>.</w:t>
      </w:r>
      <w:r>
        <w:rPr>
          <w:rFonts w:hint="default" w:ascii="宋体" w:hAnsi="宋体" w:eastAsia="宋体"/>
          <w:sz w:val="24"/>
          <w:szCs w:val="24"/>
        </w:rPr>
        <w:t>3</w:t>
      </w:r>
      <w:r>
        <w:rPr>
          <w:rFonts w:hint="eastAsia" w:ascii="宋体" w:hAnsi="宋体" w:eastAsia="宋体"/>
          <w:sz w:val="24"/>
          <w:szCs w:val="24"/>
        </w:rPr>
        <w:t>商务要求</w:t>
      </w:r>
      <w:bookmarkEnd w:id="8"/>
      <w:r>
        <w:rPr>
          <w:rFonts w:ascii="宋体" w:hAnsi="宋体" w:eastAsia="宋体"/>
          <w:sz w:val="24"/>
          <w:szCs w:val="24"/>
        </w:rPr>
        <w:t xml:space="preserve"> </w:t>
      </w:r>
    </w:p>
    <w:p w14:paraId="23851B90">
      <w:pPr>
        <w:spacing w:line="360" w:lineRule="auto"/>
        <w:ind w:firstLine="480" w:firstLineChars="200"/>
        <w:rPr>
          <w:rFonts w:ascii="宋体" w:hAnsi="宋体" w:eastAsia="宋体"/>
          <w:sz w:val="24"/>
        </w:rPr>
      </w:pPr>
      <w:r>
        <w:rPr>
          <w:rFonts w:hint="eastAsia" w:ascii="宋体" w:hAnsi="宋体" w:eastAsia="宋体"/>
          <w:sz w:val="24"/>
        </w:rPr>
        <w:t xml:space="preserve">1、投标总报价应是交钥匙工程（包括办理相关手续费用、设备运输、安装、调试、割接、培训、验收、服务等费用等全部内容）的最终优惠总价。在合同实施时，采购人将不予支付中标人没有列入的项目费用，并认为此项目的费用已包括在总报价中，采购人提出的设计变更除外。 </w:t>
      </w:r>
    </w:p>
    <w:p w14:paraId="75423843">
      <w:pPr>
        <w:spacing w:line="360" w:lineRule="auto"/>
        <w:ind w:firstLine="480" w:firstLineChars="200"/>
        <w:rPr>
          <w:rFonts w:ascii="宋体" w:hAnsi="宋体" w:eastAsia="宋体"/>
          <w:sz w:val="24"/>
        </w:rPr>
      </w:pPr>
      <w:r>
        <w:rPr>
          <w:rFonts w:hint="eastAsia" w:ascii="宋体" w:hAnsi="宋体" w:eastAsia="宋体"/>
          <w:sz w:val="24"/>
        </w:rPr>
        <w:t>2、中标人必须按国家有关财税规定开具发票。</w:t>
      </w:r>
    </w:p>
    <w:p w14:paraId="08DFB8AB">
      <w:pPr>
        <w:spacing w:line="360" w:lineRule="auto"/>
        <w:ind w:firstLine="480" w:firstLineChars="200"/>
        <w:rPr>
          <w:rFonts w:ascii="宋体" w:hAnsi="宋体" w:eastAsia="宋体"/>
          <w:sz w:val="24"/>
        </w:rPr>
      </w:pPr>
      <w:r>
        <w:rPr>
          <w:rFonts w:hint="eastAsia" w:ascii="宋体" w:hAnsi="宋体" w:eastAsia="宋体"/>
          <w:sz w:val="24"/>
        </w:rPr>
        <w:t xml:space="preserve">3、严禁借用资质，发现借用或假冒资质投标的，采购人有权随时取消其中标资格或终止合同，并按照有关法律法规规定处理。 </w:t>
      </w:r>
    </w:p>
    <w:p w14:paraId="6C54F960">
      <w:pPr>
        <w:spacing w:line="360" w:lineRule="auto"/>
        <w:ind w:firstLine="480" w:firstLineChars="200"/>
        <w:rPr>
          <w:rFonts w:ascii="宋体" w:hAnsi="宋体" w:eastAsia="宋体"/>
          <w:sz w:val="24"/>
        </w:rPr>
      </w:pPr>
      <w:r>
        <w:rPr>
          <w:rFonts w:hint="eastAsia" w:ascii="宋体" w:hAnsi="宋体" w:eastAsia="宋体"/>
          <w:sz w:val="24"/>
        </w:rPr>
        <w:t xml:space="preserve">4、如中标人发生兼并、重组等，由新组建的公司按投标文件承担相应售后服务。 </w:t>
      </w:r>
    </w:p>
    <w:p w14:paraId="2CA719E2">
      <w:pPr>
        <w:spacing w:line="360" w:lineRule="auto"/>
        <w:ind w:firstLine="480" w:firstLineChars="200"/>
        <w:rPr>
          <w:rFonts w:ascii="宋体" w:hAnsi="宋体" w:eastAsia="宋体"/>
          <w:sz w:val="24"/>
        </w:rPr>
      </w:pPr>
      <w:r>
        <w:rPr>
          <w:rFonts w:hint="eastAsia" w:ascii="宋体" w:hAnsi="宋体" w:eastAsia="宋体"/>
          <w:sz w:val="24"/>
        </w:rPr>
        <w:t xml:space="preserve">5、供应商具备相应的信息安全服务能力，技术需成体系，具备相关工作的管理经验。 </w:t>
      </w:r>
    </w:p>
    <w:p w14:paraId="2FC6959D">
      <w:pPr>
        <w:spacing w:line="360" w:lineRule="auto"/>
        <w:ind w:firstLine="480" w:firstLineChars="200"/>
        <w:rPr>
          <w:rFonts w:ascii="宋体" w:hAnsi="宋体" w:eastAsia="宋体"/>
          <w:sz w:val="24"/>
        </w:rPr>
      </w:pPr>
      <w:r>
        <w:rPr>
          <w:rFonts w:hint="default" w:ascii="宋体" w:hAnsi="宋体" w:eastAsia="宋体"/>
          <w:sz w:val="24"/>
        </w:rPr>
        <w:t>6</w:t>
      </w:r>
      <w:r>
        <w:rPr>
          <w:rFonts w:hint="eastAsia" w:ascii="宋体" w:hAnsi="宋体" w:eastAsia="宋体"/>
          <w:sz w:val="24"/>
        </w:rPr>
        <w:t>、供应商须按照以上服务要求条款提供规范服务，否则视为无效投标。</w:t>
      </w:r>
    </w:p>
    <w:p w14:paraId="688D51C0">
      <w:pPr>
        <w:spacing w:line="360" w:lineRule="auto"/>
        <w:ind w:firstLine="4560" w:firstLineChars="1900"/>
        <w:jc w:val="right"/>
        <w:rPr>
          <w:rFonts w:ascii="宋体" w:hAnsi="宋体" w:eastAsia="宋体"/>
          <w:sz w:val="24"/>
        </w:rPr>
      </w:pPr>
    </w:p>
    <w:sectPr>
      <w:pgSz w:w="11900" w:h="16840"/>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0F73E5"/>
    <w:multiLevelType w:val="multilevel"/>
    <w:tmpl w:val="250F73E5"/>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xM2QyMWI0ZDE4MWRhNzRjZmI4NmRiMmVjYzhiOWEifQ=="/>
  </w:docVars>
  <w:rsids>
    <w:rsidRoot w:val="00500B0C"/>
    <w:rsid w:val="000074D1"/>
    <w:rsid w:val="00011768"/>
    <w:rsid w:val="00015CF8"/>
    <w:rsid w:val="0003507B"/>
    <w:rsid w:val="00036BC7"/>
    <w:rsid w:val="00036E4E"/>
    <w:rsid w:val="00041E11"/>
    <w:rsid w:val="00043C31"/>
    <w:rsid w:val="00046221"/>
    <w:rsid w:val="00066EBC"/>
    <w:rsid w:val="00070A06"/>
    <w:rsid w:val="00072A55"/>
    <w:rsid w:val="00076348"/>
    <w:rsid w:val="00077D78"/>
    <w:rsid w:val="00077F5F"/>
    <w:rsid w:val="00085D84"/>
    <w:rsid w:val="000A0307"/>
    <w:rsid w:val="000A05B8"/>
    <w:rsid w:val="000A3E2E"/>
    <w:rsid w:val="000A599D"/>
    <w:rsid w:val="000A73D6"/>
    <w:rsid w:val="000A7D4D"/>
    <w:rsid w:val="000B472A"/>
    <w:rsid w:val="000B49A5"/>
    <w:rsid w:val="000D2AD0"/>
    <w:rsid w:val="000D3039"/>
    <w:rsid w:val="000E7568"/>
    <w:rsid w:val="000F0583"/>
    <w:rsid w:val="000F36B4"/>
    <w:rsid w:val="000F5B10"/>
    <w:rsid w:val="00103348"/>
    <w:rsid w:val="001116AD"/>
    <w:rsid w:val="00115441"/>
    <w:rsid w:val="00130E4F"/>
    <w:rsid w:val="00136A85"/>
    <w:rsid w:val="00144D99"/>
    <w:rsid w:val="00152564"/>
    <w:rsid w:val="00166C7A"/>
    <w:rsid w:val="0017117F"/>
    <w:rsid w:val="00174BBA"/>
    <w:rsid w:val="00177C82"/>
    <w:rsid w:val="00181EFD"/>
    <w:rsid w:val="001A2790"/>
    <w:rsid w:val="001A5275"/>
    <w:rsid w:val="001A5A2D"/>
    <w:rsid w:val="001E41A5"/>
    <w:rsid w:val="002042E0"/>
    <w:rsid w:val="002207A6"/>
    <w:rsid w:val="002208C9"/>
    <w:rsid w:val="0022184E"/>
    <w:rsid w:val="002245A9"/>
    <w:rsid w:val="00233494"/>
    <w:rsid w:val="00235E0C"/>
    <w:rsid w:val="00240024"/>
    <w:rsid w:val="002531D5"/>
    <w:rsid w:val="00260812"/>
    <w:rsid w:val="00267485"/>
    <w:rsid w:val="002749DC"/>
    <w:rsid w:val="002752E0"/>
    <w:rsid w:val="0027532B"/>
    <w:rsid w:val="00275495"/>
    <w:rsid w:val="00287E04"/>
    <w:rsid w:val="002917BE"/>
    <w:rsid w:val="002D3C46"/>
    <w:rsid w:val="002F4005"/>
    <w:rsid w:val="0031037A"/>
    <w:rsid w:val="00314BCA"/>
    <w:rsid w:val="003215F6"/>
    <w:rsid w:val="003240E0"/>
    <w:rsid w:val="003354FF"/>
    <w:rsid w:val="00336064"/>
    <w:rsid w:val="0034135F"/>
    <w:rsid w:val="00346F4B"/>
    <w:rsid w:val="0035073B"/>
    <w:rsid w:val="00353552"/>
    <w:rsid w:val="003639AA"/>
    <w:rsid w:val="00376152"/>
    <w:rsid w:val="00377949"/>
    <w:rsid w:val="003833F3"/>
    <w:rsid w:val="00395E09"/>
    <w:rsid w:val="00395ED3"/>
    <w:rsid w:val="003B7B6D"/>
    <w:rsid w:val="003C0CF3"/>
    <w:rsid w:val="003C5E87"/>
    <w:rsid w:val="003D516C"/>
    <w:rsid w:val="003E3640"/>
    <w:rsid w:val="003F006B"/>
    <w:rsid w:val="003F3D1C"/>
    <w:rsid w:val="003F7972"/>
    <w:rsid w:val="004009BF"/>
    <w:rsid w:val="00407A6E"/>
    <w:rsid w:val="00411BF8"/>
    <w:rsid w:val="00413859"/>
    <w:rsid w:val="0042253E"/>
    <w:rsid w:val="00426266"/>
    <w:rsid w:val="004326AB"/>
    <w:rsid w:val="00433C08"/>
    <w:rsid w:val="00437790"/>
    <w:rsid w:val="004438DE"/>
    <w:rsid w:val="00446E7C"/>
    <w:rsid w:val="004505C5"/>
    <w:rsid w:val="0045197D"/>
    <w:rsid w:val="004534D3"/>
    <w:rsid w:val="00457178"/>
    <w:rsid w:val="004663D9"/>
    <w:rsid w:val="00472A97"/>
    <w:rsid w:val="00477789"/>
    <w:rsid w:val="004869B0"/>
    <w:rsid w:val="004A68BB"/>
    <w:rsid w:val="004A6E4B"/>
    <w:rsid w:val="004B5D51"/>
    <w:rsid w:val="004B77C8"/>
    <w:rsid w:val="004C167E"/>
    <w:rsid w:val="004C28CB"/>
    <w:rsid w:val="004D3F59"/>
    <w:rsid w:val="004D7D02"/>
    <w:rsid w:val="004E0862"/>
    <w:rsid w:val="004E1182"/>
    <w:rsid w:val="00500B0C"/>
    <w:rsid w:val="00502E83"/>
    <w:rsid w:val="00506763"/>
    <w:rsid w:val="0050735D"/>
    <w:rsid w:val="005308C5"/>
    <w:rsid w:val="00534BAB"/>
    <w:rsid w:val="005356C8"/>
    <w:rsid w:val="005435A5"/>
    <w:rsid w:val="0054650A"/>
    <w:rsid w:val="00555CBB"/>
    <w:rsid w:val="00560796"/>
    <w:rsid w:val="00562471"/>
    <w:rsid w:val="005630B9"/>
    <w:rsid w:val="0057005A"/>
    <w:rsid w:val="00574FD2"/>
    <w:rsid w:val="00576E76"/>
    <w:rsid w:val="00577641"/>
    <w:rsid w:val="00593099"/>
    <w:rsid w:val="00595C64"/>
    <w:rsid w:val="00595DF5"/>
    <w:rsid w:val="005A0765"/>
    <w:rsid w:val="005A2336"/>
    <w:rsid w:val="005B3846"/>
    <w:rsid w:val="005B497C"/>
    <w:rsid w:val="005C1F08"/>
    <w:rsid w:val="005D0FAA"/>
    <w:rsid w:val="005D6B1D"/>
    <w:rsid w:val="005D7B66"/>
    <w:rsid w:val="005E2AE5"/>
    <w:rsid w:val="005E3EB3"/>
    <w:rsid w:val="005E5AF6"/>
    <w:rsid w:val="005E6CE5"/>
    <w:rsid w:val="005F798D"/>
    <w:rsid w:val="0060351B"/>
    <w:rsid w:val="006046B0"/>
    <w:rsid w:val="00611922"/>
    <w:rsid w:val="0062081C"/>
    <w:rsid w:val="00620D85"/>
    <w:rsid w:val="00626FCA"/>
    <w:rsid w:val="00627A52"/>
    <w:rsid w:val="00627DBA"/>
    <w:rsid w:val="00627F27"/>
    <w:rsid w:val="0065389B"/>
    <w:rsid w:val="00665C6B"/>
    <w:rsid w:val="00684A29"/>
    <w:rsid w:val="00697944"/>
    <w:rsid w:val="006A0519"/>
    <w:rsid w:val="006A7490"/>
    <w:rsid w:val="006B2C28"/>
    <w:rsid w:val="006C2EDF"/>
    <w:rsid w:val="006C3949"/>
    <w:rsid w:val="006C7DED"/>
    <w:rsid w:val="006D08E1"/>
    <w:rsid w:val="006F47A2"/>
    <w:rsid w:val="00705BCD"/>
    <w:rsid w:val="007103B2"/>
    <w:rsid w:val="0071708C"/>
    <w:rsid w:val="007232DD"/>
    <w:rsid w:val="007330A8"/>
    <w:rsid w:val="00747C3D"/>
    <w:rsid w:val="007613DE"/>
    <w:rsid w:val="007738BD"/>
    <w:rsid w:val="00792167"/>
    <w:rsid w:val="00793256"/>
    <w:rsid w:val="00794B48"/>
    <w:rsid w:val="007969AF"/>
    <w:rsid w:val="007B18B8"/>
    <w:rsid w:val="007D08E1"/>
    <w:rsid w:val="007D1828"/>
    <w:rsid w:val="00810CC0"/>
    <w:rsid w:val="00811EEA"/>
    <w:rsid w:val="00837605"/>
    <w:rsid w:val="00841073"/>
    <w:rsid w:val="00841453"/>
    <w:rsid w:val="00857B2B"/>
    <w:rsid w:val="008620D8"/>
    <w:rsid w:val="008708A6"/>
    <w:rsid w:val="008860F8"/>
    <w:rsid w:val="008872BE"/>
    <w:rsid w:val="00891209"/>
    <w:rsid w:val="00894331"/>
    <w:rsid w:val="008A1913"/>
    <w:rsid w:val="008A6169"/>
    <w:rsid w:val="008B3DCA"/>
    <w:rsid w:val="008B5500"/>
    <w:rsid w:val="008B662E"/>
    <w:rsid w:val="008C166B"/>
    <w:rsid w:val="008C785A"/>
    <w:rsid w:val="008D4E23"/>
    <w:rsid w:val="008E7C28"/>
    <w:rsid w:val="008F0043"/>
    <w:rsid w:val="00905C08"/>
    <w:rsid w:val="0091058E"/>
    <w:rsid w:val="009144DB"/>
    <w:rsid w:val="00921A4B"/>
    <w:rsid w:val="00922D25"/>
    <w:rsid w:val="00924290"/>
    <w:rsid w:val="00926BDE"/>
    <w:rsid w:val="00927F5D"/>
    <w:rsid w:val="009341AB"/>
    <w:rsid w:val="00934AA2"/>
    <w:rsid w:val="00937C1C"/>
    <w:rsid w:val="00955422"/>
    <w:rsid w:val="00962F68"/>
    <w:rsid w:val="009638F8"/>
    <w:rsid w:val="0096535E"/>
    <w:rsid w:val="00966BF5"/>
    <w:rsid w:val="009822FD"/>
    <w:rsid w:val="00982A86"/>
    <w:rsid w:val="009952A1"/>
    <w:rsid w:val="00996C47"/>
    <w:rsid w:val="009C2520"/>
    <w:rsid w:val="009C655E"/>
    <w:rsid w:val="009E12A4"/>
    <w:rsid w:val="009E7331"/>
    <w:rsid w:val="009F09A7"/>
    <w:rsid w:val="009F0C25"/>
    <w:rsid w:val="009F1DEC"/>
    <w:rsid w:val="00A10AC9"/>
    <w:rsid w:val="00A1256B"/>
    <w:rsid w:val="00A14407"/>
    <w:rsid w:val="00A14EB3"/>
    <w:rsid w:val="00A24653"/>
    <w:rsid w:val="00A34FA7"/>
    <w:rsid w:val="00A4186E"/>
    <w:rsid w:val="00A460A1"/>
    <w:rsid w:val="00A54055"/>
    <w:rsid w:val="00A71D14"/>
    <w:rsid w:val="00A746C8"/>
    <w:rsid w:val="00A74C5A"/>
    <w:rsid w:val="00A75393"/>
    <w:rsid w:val="00A8007F"/>
    <w:rsid w:val="00A87345"/>
    <w:rsid w:val="00AA58BA"/>
    <w:rsid w:val="00AB2D8D"/>
    <w:rsid w:val="00AB456D"/>
    <w:rsid w:val="00AC1614"/>
    <w:rsid w:val="00AC5072"/>
    <w:rsid w:val="00AD14FE"/>
    <w:rsid w:val="00AE1961"/>
    <w:rsid w:val="00AF3E5A"/>
    <w:rsid w:val="00AF41B0"/>
    <w:rsid w:val="00B02DB6"/>
    <w:rsid w:val="00B1726C"/>
    <w:rsid w:val="00B254B3"/>
    <w:rsid w:val="00B51F40"/>
    <w:rsid w:val="00B6514A"/>
    <w:rsid w:val="00B70078"/>
    <w:rsid w:val="00B76470"/>
    <w:rsid w:val="00B91A88"/>
    <w:rsid w:val="00B94BE9"/>
    <w:rsid w:val="00BB00BD"/>
    <w:rsid w:val="00BB456A"/>
    <w:rsid w:val="00BC175E"/>
    <w:rsid w:val="00BC3A7E"/>
    <w:rsid w:val="00C006C7"/>
    <w:rsid w:val="00C067E8"/>
    <w:rsid w:val="00C24F93"/>
    <w:rsid w:val="00C32BBC"/>
    <w:rsid w:val="00C362C9"/>
    <w:rsid w:val="00C36D9D"/>
    <w:rsid w:val="00C37B74"/>
    <w:rsid w:val="00C514D2"/>
    <w:rsid w:val="00C5759E"/>
    <w:rsid w:val="00C63D8A"/>
    <w:rsid w:val="00C64797"/>
    <w:rsid w:val="00C73856"/>
    <w:rsid w:val="00C762B3"/>
    <w:rsid w:val="00C82324"/>
    <w:rsid w:val="00C949E9"/>
    <w:rsid w:val="00C97842"/>
    <w:rsid w:val="00CA6E21"/>
    <w:rsid w:val="00CB3282"/>
    <w:rsid w:val="00CB3570"/>
    <w:rsid w:val="00CB798C"/>
    <w:rsid w:val="00CC2A3F"/>
    <w:rsid w:val="00CC78C5"/>
    <w:rsid w:val="00CD1F4C"/>
    <w:rsid w:val="00CD5F93"/>
    <w:rsid w:val="00CE5D19"/>
    <w:rsid w:val="00D059A5"/>
    <w:rsid w:val="00D11D62"/>
    <w:rsid w:val="00D2470F"/>
    <w:rsid w:val="00D35539"/>
    <w:rsid w:val="00D408A7"/>
    <w:rsid w:val="00D608DF"/>
    <w:rsid w:val="00D64A2A"/>
    <w:rsid w:val="00D71F03"/>
    <w:rsid w:val="00D72C02"/>
    <w:rsid w:val="00D74591"/>
    <w:rsid w:val="00D9262B"/>
    <w:rsid w:val="00DA04FD"/>
    <w:rsid w:val="00DB63F5"/>
    <w:rsid w:val="00DC0FED"/>
    <w:rsid w:val="00DC7908"/>
    <w:rsid w:val="00DE3B7D"/>
    <w:rsid w:val="00DE71F1"/>
    <w:rsid w:val="00DF0D3F"/>
    <w:rsid w:val="00DF5635"/>
    <w:rsid w:val="00DF6EB4"/>
    <w:rsid w:val="00DF7401"/>
    <w:rsid w:val="00E24692"/>
    <w:rsid w:val="00E247C3"/>
    <w:rsid w:val="00E24C7C"/>
    <w:rsid w:val="00E427FF"/>
    <w:rsid w:val="00E47093"/>
    <w:rsid w:val="00E74BCE"/>
    <w:rsid w:val="00E977EC"/>
    <w:rsid w:val="00EA2AEC"/>
    <w:rsid w:val="00EA4209"/>
    <w:rsid w:val="00EB34FB"/>
    <w:rsid w:val="00EB5B20"/>
    <w:rsid w:val="00EC04E9"/>
    <w:rsid w:val="00EC561F"/>
    <w:rsid w:val="00EC593E"/>
    <w:rsid w:val="00EE37F3"/>
    <w:rsid w:val="00EE50F1"/>
    <w:rsid w:val="00EE6C5C"/>
    <w:rsid w:val="00EF3C85"/>
    <w:rsid w:val="00F1323C"/>
    <w:rsid w:val="00F14CC8"/>
    <w:rsid w:val="00F177F2"/>
    <w:rsid w:val="00F303DD"/>
    <w:rsid w:val="00F328A3"/>
    <w:rsid w:val="00F4154A"/>
    <w:rsid w:val="00F4242A"/>
    <w:rsid w:val="00F44B07"/>
    <w:rsid w:val="00F45162"/>
    <w:rsid w:val="00F50789"/>
    <w:rsid w:val="00F72247"/>
    <w:rsid w:val="00F84455"/>
    <w:rsid w:val="00F9152B"/>
    <w:rsid w:val="00F93F6E"/>
    <w:rsid w:val="00F9566E"/>
    <w:rsid w:val="00F9633A"/>
    <w:rsid w:val="00FA294A"/>
    <w:rsid w:val="00FA4D16"/>
    <w:rsid w:val="00FA76B2"/>
    <w:rsid w:val="00FB64B1"/>
    <w:rsid w:val="00FC2464"/>
    <w:rsid w:val="00FC6D27"/>
    <w:rsid w:val="00FD782A"/>
    <w:rsid w:val="00FE1FDA"/>
    <w:rsid w:val="00FE2704"/>
    <w:rsid w:val="00FF0B60"/>
    <w:rsid w:val="027D54AB"/>
    <w:rsid w:val="0C141E0E"/>
    <w:rsid w:val="159E6698"/>
    <w:rsid w:val="18E24560"/>
    <w:rsid w:val="2D005DF1"/>
    <w:rsid w:val="2F74EF56"/>
    <w:rsid w:val="50EB53CF"/>
    <w:rsid w:val="5A7122F9"/>
    <w:rsid w:val="7077017C"/>
    <w:rsid w:val="70DC62C7"/>
    <w:rsid w:val="74E7348C"/>
    <w:rsid w:val="781F0713"/>
    <w:rsid w:val="7BFEDFFD"/>
    <w:rsid w:val="7FCA6E20"/>
    <w:rsid w:val="BDAFAD51"/>
    <w:rsid w:val="BDE7EC54"/>
    <w:rsid w:val="DFFE45D4"/>
    <w:rsid w:val="F74B2E7C"/>
    <w:rsid w:val="F7FFC196"/>
    <w:rsid w:val="FDAFB9EE"/>
    <w:rsid w:val="FDF5C788"/>
    <w:rsid w:val="FEF662B2"/>
    <w:rsid w:val="FF1FA4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5"/>
    <w:next w:val="6"/>
    <w:link w:val="19"/>
    <w:qFormat/>
    <w:uiPriority w:val="9"/>
    <w:pPr>
      <w:keepNext/>
      <w:keepLines/>
      <w:spacing w:before="340" w:after="330" w:line="578" w:lineRule="auto"/>
    </w:pPr>
    <w:rPr>
      <w:rFonts w:ascii="Arial" w:hAnsi="Arial" w:eastAsia="宋体" w:cs="Arial"/>
      <w:kern w:val="44"/>
      <w:sz w:val="44"/>
      <w:szCs w:val="44"/>
    </w:rPr>
  </w:style>
  <w:style w:type="paragraph" w:styleId="7">
    <w:name w:val="heading 2"/>
    <w:basedOn w:val="1"/>
    <w:next w:val="1"/>
    <w:link w:val="2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8">
    <w:name w:val="heading 3"/>
    <w:basedOn w:val="1"/>
    <w:next w:val="1"/>
    <w:link w:val="24"/>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16">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21"/>
    <w:unhideWhenUsed/>
    <w:qFormat/>
    <w:uiPriority w:val="99"/>
    <w:pPr>
      <w:spacing w:after="120"/>
    </w:pPr>
  </w:style>
  <w:style w:type="paragraph" w:styleId="3">
    <w:name w:val="Date"/>
    <w:basedOn w:val="1"/>
    <w:next w:val="1"/>
    <w:unhideWhenUsed/>
    <w:qFormat/>
    <w:uiPriority w:val="0"/>
    <w:pPr>
      <w:ind w:left="100" w:leftChars="2500"/>
    </w:pPr>
  </w:style>
  <w:style w:type="paragraph" w:styleId="5">
    <w:name w:val="Title"/>
    <w:basedOn w:val="1"/>
    <w:next w:val="1"/>
    <w:link w:val="20"/>
    <w:qFormat/>
    <w:uiPriority w:val="10"/>
    <w:pPr>
      <w:spacing w:before="240" w:after="60"/>
      <w:jc w:val="center"/>
      <w:outlineLvl w:val="0"/>
    </w:pPr>
    <w:rPr>
      <w:rFonts w:asciiTheme="majorHAnsi" w:hAnsiTheme="majorHAnsi" w:eastAsiaTheme="majorEastAsia" w:cstheme="majorBidi"/>
      <w:b/>
      <w:bCs/>
      <w:sz w:val="32"/>
      <w:szCs w:val="32"/>
    </w:rPr>
  </w:style>
  <w:style w:type="paragraph" w:styleId="6">
    <w:name w:val="Body Text First Indent"/>
    <w:basedOn w:val="2"/>
    <w:link w:val="22"/>
    <w:unhideWhenUsed/>
    <w:qFormat/>
    <w:uiPriority w:val="99"/>
    <w:pPr>
      <w:ind w:firstLine="420" w:firstLineChars="100"/>
    </w:pPr>
  </w:style>
  <w:style w:type="paragraph" w:styleId="9">
    <w:name w:val="Normal Indent"/>
    <w:basedOn w:val="1"/>
    <w:link w:val="23"/>
    <w:unhideWhenUsed/>
    <w:qFormat/>
    <w:uiPriority w:val="0"/>
    <w:pPr>
      <w:ind w:firstLine="420"/>
    </w:pPr>
  </w:style>
  <w:style w:type="paragraph" w:styleId="10">
    <w:name w:val="annotation text"/>
    <w:basedOn w:val="1"/>
    <w:link w:val="31"/>
    <w:unhideWhenUsed/>
    <w:qFormat/>
    <w:uiPriority w:val="99"/>
    <w:pPr>
      <w:jc w:val="left"/>
    </w:pPr>
    <w:rPr>
      <w:rFonts w:ascii="Times New Roman" w:hAnsi="Times New Roman" w:eastAsia="宋体" w:cs="Times New Roman"/>
      <w:szCs w:val="24"/>
    </w:rPr>
  </w:style>
  <w:style w:type="paragraph" w:styleId="11">
    <w:name w:val="Plain Text"/>
    <w:basedOn w:val="1"/>
    <w:link w:val="29"/>
    <w:qFormat/>
    <w:uiPriority w:val="0"/>
    <w:rPr>
      <w:rFonts w:ascii="宋体" w:hAnsi="Courier New" w:eastAsia="宋体" w:cs="Times New Roman"/>
      <w:kern w:val="10"/>
      <w:szCs w:val="21"/>
    </w:rPr>
  </w:style>
  <w:style w:type="paragraph" w:styleId="12">
    <w:name w:val="Balloon Text"/>
    <w:basedOn w:val="1"/>
    <w:link w:val="30"/>
    <w:unhideWhenUsed/>
    <w:qFormat/>
    <w:uiPriority w:val="99"/>
    <w:rPr>
      <w:sz w:val="18"/>
      <w:szCs w:val="18"/>
    </w:rPr>
  </w:style>
  <w:style w:type="paragraph" w:styleId="13">
    <w:name w:val="footer"/>
    <w:basedOn w:val="1"/>
    <w:link w:val="28"/>
    <w:unhideWhenUsed/>
    <w:qFormat/>
    <w:uiPriority w:val="99"/>
    <w:pPr>
      <w:tabs>
        <w:tab w:val="center" w:pos="4153"/>
        <w:tab w:val="right" w:pos="8306"/>
      </w:tabs>
      <w:snapToGrid w:val="0"/>
      <w:jc w:val="left"/>
    </w:pPr>
    <w:rPr>
      <w:sz w:val="18"/>
      <w:szCs w:val="18"/>
    </w:rPr>
  </w:style>
  <w:style w:type="paragraph" w:styleId="14">
    <w:name w:val="header"/>
    <w:basedOn w:val="1"/>
    <w:link w:val="27"/>
    <w:unhideWhenUsed/>
    <w:qFormat/>
    <w:uiPriority w:val="0"/>
    <w:pPr>
      <w:pBdr>
        <w:bottom w:val="single" w:color="auto" w:sz="6" w:space="1"/>
      </w:pBdr>
      <w:tabs>
        <w:tab w:val="center" w:pos="4153"/>
        <w:tab w:val="right" w:pos="8306"/>
      </w:tabs>
      <w:snapToGrid w:val="0"/>
      <w:jc w:val="center"/>
    </w:pPr>
    <w:rPr>
      <w:sz w:val="18"/>
      <w:szCs w:val="18"/>
    </w:rPr>
  </w:style>
  <w:style w:type="paragraph" w:styleId="15">
    <w:name w:val="annotation subject"/>
    <w:basedOn w:val="10"/>
    <w:next w:val="10"/>
    <w:link w:val="32"/>
    <w:unhideWhenUsed/>
    <w:qFormat/>
    <w:uiPriority w:val="99"/>
    <w:rPr>
      <w:rFonts w:asciiTheme="minorHAnsi" w:hAnsiTheme="minorHAnsi" w:eastAsiaTheme="minorEastAsia" w:cstheme="minorBidi"/>
      <w:b/>
      <w:bCs/>
      <w:szCs w:val="22"/>
    </w:rPr>
  </w:style>
  <w:style w:type="character" w:styleId="18">
    <w:name w:val="annotation reference"/>
    <w:unhideWhenUsed/>
    <w:qFormat/>
    <w:uiPriority w:val="99"/>
    <w:rPr>
      <w:sz w:val="21"/>
      <w:szCs w:val="21"/>
    </w:rPr>
  </w:style>
  <w:style w:type="character" w:customStyle="1" w:styleId="19">
    <w:name w:val="标题 1 Char"/>
    <w:basedOn w:val="17"/>
    <w:link w:val="4"/>
    <w:qFormat/>
    <w:uiPriority w:val="9"/>
    <w:rPr>
      <w:rFonts w:ascii="Arial" w:hAnsi="Arial" w:eastAsia="宋体" w:cs="Arial"/>
      <w:b/>
      <w:bCs/>
      <w:kern w:val="44"/>
      <w:sz w:val="44"/>
      <w:szCs w:val="44"/>
    </w:rPr>
  </w:style>
  <w:style w:type="character" w:customStyle="1" w:styleId="20">
    <w:name w:val="标题 Char"/>
    <w:basedOn w:val="17"/>
    <w:link w:val="5"/>
    <w:qFormat/>
    <w:uiPriority w:val="10"/>
    <w:rPr>
      <w:rFonts w:asciiTheme="majorHAnsi" w:hAnsiTheme="majorHAnsi" w:eastAsiaTheme="majorEastAsia" w:cstheme="majorBidi"/>
      <w:b/>
      <w:bCs/>
      <w:sz w:val="32"/>
      <w:szCs w:val="32"/>
    </w:rPr>
  </w:style>
  <w:style w:type="character" w:customStyle="1" w:styleId="21">
    <w:name w:val="正文文本 Char"/>
    <w:basedOn w:val="17"/>
    <w:link w:val="2"/>
    <w:semiHidden/>
    <w:qFormat/>
    <w:uiPriority w:val="99"/>
  </w:style>
  <w:style w:type="character" w:customStyle="1" w:styleId="22">
    <w:name w:val="正文首行缩进 Char"/>
    <w:basedOn w:val="21"/>
    <w:link w:val="6"/>
    <w:semiHidden/>
    <w:qFormat/>
    <w:uiPriority w:val="99"/>
  </w:style>
  <w:style w:type="character" w:customStyle="1" w:styleId="23">
    <w:name w:val="正文缩进 Char"/>
    <w:link w:val="9"/>
    <w:qFormat/>
    <w:locked/>
    <w:uiPriority w:val="0"/>
  </w:style>
  <w:style w:type="character" w:customStyle="1" w:styleId="24">
    <w:name w:val="标题 3 Char"/>
    <w:basedOn w:val="17"/>
    <w:link w:val="8"/>
    <w:semiHidden/>
    <w:qFormat/>
    <w:uiPriority w:val="9"/>
    <w:rPr>
      <w:b/>
      <w:bCs/>
      <w:sz w:val="32"/>
      <w:szCs w:val="32"/>
    </w:rPr>
  </w:style>
  <w:style w:type="character" w:customStyle="1" w:styleId="25">
    <w:name w:val="标题 2 Char"/>
    <w:basedOn w:val="17"/>
    <w:link w:val="7"/>
    <w:qFormat/>
    <w:uiPriority w:val="9"/>
    <w:rPr>
      <w:rFonts w:asciiTheme="majorHAnsi" w:hAnsiTheme="majorHAnsi" w:eastAsiaTheme="majorEastAsia" w:cstheme="majorBidi"/>
      <w:b/>
      <w:bCs/>
      <w:sz w:val="32"/>
      <w:szCs w:val="32"/>
    </w:rPr>
  </w:style>
  <w:style w:type="paragraph" w:customStyle="1" w:styleId="26">
    <w:name w:val="List Paragraph"/>
    <w:basedOn w:val="1"/>
    <w:qFormat/>
    <w:uiPriority w:val="34"/>
    <w:pPr>
      <w:ind w:firstLine="420" w:firstLineChars="200"/>
    </w:pPr>
  </w:style>
  <w:style w:type="character" w:customStyle="1" w:styleId="27">
    <w:name w:val="页眉 Char"/>
    <w:basedOn w:val="17"/>
    <w:link w:val="14"/>
    <w:qFormat/>
    <w:uiPriority w:val="0"/>
    <w:rPr>
      <w:sz w:val="18"/>
      <w:szCs w:val="18"/>
    </w:rPr>
  </w:style>
  <w:style w:type="character" w:customStyle="1" w:styleId="28">
    <w:name w:val="页脚 Char"/>
    <w:basedOn w:val="17"/>
    <w:link w:val="13"/>
    <w:qFormat/>
    <w:uiPriority w:val="99"/>
    <w:rPr>
      <w:sz w:val="18"/>
      <w:szCs w:val="18"/>
    </w:rPr>
  </w:style>
  <w:style w:type="character" w:customStyle="1" w:styleId="29">
    <w:name w:val="纯文本 Char"/>
    <w:basedOn w:val="17"/>
    <w:link w:val="11"/>
    <w:qFormat/>
    <w:uiPriority w:val="0"/>
    <w:rPr>
      <w:rFonts w:ascii="宋体" w:hAnsi="Courier New" w:eastAsia="宋体" w:cs="Times New Roman"/>
      <w:kern w:val="10"/>
      <w:szCs w:val="21"/>
    </w:rPr>
  </w:style>
  <w:style w:type="character" w:customStyle="1" w:styleId="30">
    <w:name w:val="批注框文本 Char"/>
    <w:basedOn w:val="17"/>
    <w:link w:val="12"/>
    <w:semiHidden/>
    <w:qFormat/>
    <w:uiPriority w:val="99"/>
    <w:rPr>
      <w:sz w:val="18"/>
      <w:szCs w:val="18"/>
    </w:rPr>
  </w:style>
  <w:style w:type="character" w:customStyle="1" w:styleId="31">
    <w:name w:val="批注文字 Char"/>
    <w:basedOn w:val="17"/>
    <w:link w:val="10"/>
    <w:qFormat/>
    <w:uiPriority w:val="99"/>
    <w:rPr>
      <w:rFonts w:ascii="Times New Roman" w:hAnsi="Times New Roman" w:eastAsia="宋体" w:cs="Times New Roman"/>
      <w:szCs w:val="24"/>
    </w:rPr>
  </w:style>
  <w:style w:type="character" w:customStyle="1" w:styleId="32">
    <w:name w:val="批注主题 Char"/>
    <w:basedOn w:val="31"/>
    <w:link w:val="15"/>
    <w:semiHidden/>
    <w:qFormat/>
    <w:uiPriority w:val="99"/>
    <w:rPr>
      <w:rFonts w:ascii="Times New Roman" w:hAnsi="Times New Roman" w:eastAsia="宋体" w:cs="Times New Roman"/>
      <w:b/>
      <w:bCs/>
      <w:kern w:val="2"/>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2257</Words>
  <Characters>2483</Characters>
  <Lines>19</Lines>
  <Paragraphs>5</Paragraphs>
  <TotalTime>2</TotalTime>
  <ScaleCrop>false</ScaleCrop>
  <LinksUpToDate>false</LinksUpToDate>
  <CharactersWithSpaces>2539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2020-12-12T04:10:00Z</dcterms:created>
  <dc:creator>86139</dc:creator>
  <cp:lastModifiedBy>Zz</cp:lastModifiedBy>
  <cp:lastPrinted>2021-08-21T23:22:00Z</cp:lastPrinted>
  <dcterms:modified xsi:type="dcterms:W3CDTF">2025-07-16T07:32:46Z</dcterms:modified>
  <cp:revision>193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1FA7B499CC040FD6DA03F864D8026825_43</vt:lpwstr>
  </property>
  <property fmtid="{D5CDD505-2E9C-101B-9397-08002B2CF9AE}" pid="4" name="KSOTemplateDocerSaveRecord">
    <vt:lpwstr>eyJoZGlkIjoiZTMxM2QyMWI0ZDE4MWRhNzRjZmI4NmRiMmVjYzhiOWEiLCJ1c2VySWQiOiI0NjA1MjA3NTcifQ==</vt:lpwstr>
  </property>
</Properties>
</file>