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A7D435">
      <w:pPr>
        <w:jc w:val="center"/>
        <w:rPr>
          <w:rFonts w:hint="eastAsia" w:ascii="黑体" w:hAnsi="黑体" w:eastAsia="黑体" w:cs="黑体"/>
          <w:color w:val="auto"/>
          <w:sz w:val="44"/>
          <w:szCs w:val="44"/>
        </w:rPr>
      </w:pPr>
      <w:r>
        <w:rPr>
          <w:rFonts w:hint="eastAsia" w:ascii="黑体" w:hAnsi="黑体" w:eastAsia="黑体" w:cs="黑体"/>
          <w:color w:val="auto"/>
          <w:sz w:val="44"/>
          <w:szCs w:val="44"/>
        </w:rPr>
        <w:t>202</w:t>
      </w:r>
      <w:r>
        <w:rPr>
          <w:rFonts w:hint="eastAsia" w:ascii="黑体" w:hAnsi="黑体" w:eastAsia="黑体" w:cs="黑体"/>
          <w:color w:val="auto"/>
          <w:sz w:val="44"/>
          <w:szCs w:val="44"/>
          <w:lang w:val="en-US" w:eastAsia="zh-CN"/>
        </w:rPr>
        <w:t>7</w:t>
      </w:r>
      <w:r>
        <w:rPr>
          <w:rFonts w:hint="eastAsia" w:ascii="黑体" w:hAnsi="黑体" w:eastAsia="黑体" w:cs="黑体"/>
          <w:color w:val="auto"/>
          <w:sz w:val="44"/>
          <w:szCs w:val="44"/>
        </w:rPr>
        <w:t>年度武汉市科技计划项目管理系统运维及优化项目</w:t>
      </w:r>
      <w:r>
        <w:rPr>
          <w:rFonts w:hint="eastAsia" w:ascii="黑体" w:hAnsi="黑体" w:eastAsia="黑体" w:cs="黑体"/>
          <w:bCs/>
          <w:color w:val="auto"/>
          <w:sz w:val="44"/>
          <w:szCs w:val="44"/>
        </w:rPr>
        <w:t>采购需</w:t>
      </w:r>
      <w:r>
        <w:rPr>
          <w:rFonts w:hint="eastAsia" w:ascii="黑体" w:hAnsi="黑体" w:eastAsia="黑体" w:cs="黑体"/>
          <w:color w:val="auto"/>
          <w:sz w:val="44"/>
          <w:szCs w:val="44"/>
        </w:rPr>
        <w:t>求</w:t>
      </w:r>
    </w:p>
    <w:p w14:paraId="126203CE">
      <w:pPr>
        <w:pStyle w:val="2"/>
        <w:numPr>
          <w:ilvl w:val="0"/>
          <w:numId w:val="0"/>
        </w:numPr>
        <w:adjustRightInd/>
        <w:snapToGrid/>
        <w:spacing w:line="360" w:lineRule="auto"/>
        <w:rPr>
          <w:color w:val="auto"/>
          <w:sz w:val="32"/>
          <w:szCs w:val="32"/>
          <w:lang w:eastAsia="zh-Hans"/>
        </w:rPr>
      </w:pPr>
      <w:r>
        <w:rPr>
          <w:rFonts w:hint="eastAsia"/>
          <w:color w:val="auto"/>
          <w:sz w:val="32"/>
          <w:szCs w:val="32"/>
          <w:lang w:eastAsia="zh-Hans"/>
        </w:rPr>
        <w:t>一、申请人的资格要求</w:t>
      </w:r>
    </w:p>
    <w:p w14:paraId="49E381FB">
      <w:pPr>
        <w:ind w:firstLine="420"/>
        <w:rPr>
          <w:rFonts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 xml:space="preserve">1、具有独立承担民事责任的能力； </w:t>
      </w:r>
    </w:p>
    <w:p w14:paraId="0CC853E5">
      <w:pPr>
        <w:ind w:firstLine="420"/>
        <w:rPr>
          <w:rFonts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 xml:space="preserve">2、具有良好的商业信誉和健全的财务会计制度； </w:t>
      </w:r>
    </w:p>
    <w:p w14:paraId="661674CD">
      <w:pPr>
        <w:ind w:firstLine="420"/>
        <w:rPr>
          <w:rFonts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 xml:space="preserve">3、具有履行合同所必需的设备和专业技术能力； </w:t>
      </w:r>
    </w:p>
    <w:p w14:paraId="1358F56C">
      <w:pPr>
        <w:ind w:firstLine="420"/>
        <w:rPr>
          <w:rFonts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 xml:space="preserve">4、有依法缴纳税收和社会保障资金的良好记录； </w:t>
      </w:r>
    </w:p>
    <w:p w14:paraId="4A61E43C">
      <w:pPr>
        <w:ind w:firstLine="420"/>
        <w:rPr>
          <w:rFonts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 xml:space="preserve">5、参加采购活动前三年内，在经营活动中没有重大违法记录； </w:t>
      </w:r>
    </w:p>
    <w:p w14:paraId="73337D87">
      <w:pPr>
        <w:ind w:firstLine="420"/>
        <w:rPr>
          <w:rFonts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6、未被列入失信被执行人、重大税收违法失信主体，未被列入政府采购严重违法失信行为记录名单。</w:t>
      </w:r>
    </w:p>
    <w:p w14:paraId="4072F3EE">
      <w:pPr>
        <w:ind w:firstLine="420"/>
        <w:rPr>
          <w:rFonts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7、法律、行政法规规定的其他条件。</w:t>
      </w:r>
    </w:p>
    <w:p w14:paraId="0CECBC5A">
      <w:pPr>
        <w:pStyle w:val="2"/>
        <w:numPr>
          <w:ilvl w:val="0"/>
          <w:numId w:val="0"/>
        </w:numPr>
        <w:adjustRightInd/>
        <w:snapToGrid/>
        <w:spacing w:line="360" w:lineRule="auto"/>
        <w:rPr>
          <w:rFonts w:hint="eastAsia"/>
          <w:color w:val="auto"/>
          <w:sz w:val="32"/>
          <w:szCs w:val="32"/>
          <w:lang w:eastAsia="zh-Hans"/>
        </w:rPr>
      </w:pPr>
      <w:r>
        <w:rPr>
          <w:rFonts w:hint="eastAsia"/>
          <w:color w:val="auto"/>
          <w:sz w:val="32"/>
          <w:szCs w:val="32"/>
          <w:lang w:eastAsia="zh-Hans"/>
        </w:rPr>
        <w:t>二、项目概述</w:t>
      </w:r>
    </w:p>
    <w:p w14:paraId="61F68D1B">
      <w:pPr>
        <w:pStyle w:val="3"/>
        <w:numPr>
          <w:ilvl w:val="0"/>
          <w:numId w:val="0"/>
        </w:numPr>
        <w:spacing w:line="360" w:lineRule="auto"/>
        <w:rPr>
          <w:rFonts w:asciiTheme="majorEastAsia" w:hAnsiTheme="majorEastAsia" w:eastAsiaTheme="majorEastAsia" w:cstheme="majorEastAsia"/>
          <w:color w:val="auto"/>
          <w:sz w:val="28"/>
          <w:szCs w:val="22"/>
          <w:lang w:eastAsia="zh-Hans"/>
        </w:rPr>
      </w:pPr>
      <w:r>
        <w:rPr>
          <w:rFonts w:hint="eastAsia" w:asciiTheme="majorEastAsia" w:hAnsiTheme="majorEastAsia" w:eastAsiaTheme="majorEastAsia" w:cstheme="majorEastAsia"/>
          <w:color w:val="auto"/>
          <w:sz w:val="28"/>
          <w:szCs w:val="22"/>
        </w:rPr>
        <w:t>2</w:t>
      </w:r>
      <w:r>
        <w:rPr>
          <w:rFonts w:asciiTheme="majorEastAsia" w:hAnsiTheme="majorEastAsia" w:eastAsiaTheme="majorEastAsia" w:cstheme="majorEastAsia"/>
          <w:color w:val="auto"/>
          <w:sz w:val="28"/>
          <w:szCs w:val="22"/>
          <w:lang w:eastAsia="zh-Hans"/>
        </w:rPr>
        <w:t xml:space="preserve">.1 </w:t>
      </w:r>
      <w:r>
        <w:rPr>
          <w:rFonts w:hint="eastAsia" w:asciiTheme="majorEastAsia" w:hAnsiTheme="majorEastAsia" w:eastAsiaTheme="majorEastAsia" w:cstheme="majorEastAsia"/>
          <w:color w:val="auto"/>
          <w:sz w:val="28"/>
          <w:szCs w:val="22"/>
          <w:lang w:eastAsia="zh-Hans"/>
        </w:rPr>
        <w:t>项目背景</w:t>
      </w:r>
    </w:p>
    <w:p w14:paraId="005882F0">
      <w:pPr>
        <w:keepNext w:val="0"/>
        <w:keepLines w:val="0"/>
        <w:pageBreakBefore w:val="0"/>
        <w:widowControl w:val="0"/>
        <w:kinsoku/>
        <w:wordWrap/>
        <w:overflowPunct/>
        <w:topLinePunct w:val="0"/>
        <w:autoSpaceDE/>
        <w:autoSpaceDN/>
        <w:bidi w:val="0"/>
        <w:adjustRightInd/>
        <w:snapToGrid/>
        <w:ind w:firstLine="480" w:firstLineChars="200"/>
        <w:textAlignment w:val="auto"/>
        <w:rPr>
          <w:rFonts w:eastAsia="宋体"/>
          <w:color w:val="auto"/>
          <w:lang w:val="en-US" w:eastAsia="zh-CN"/>
        </w:rPr>
      </w:pPr>
      <w:r>
        <w:rPr>
          <w:rFonts w:eastAsia="宋体"/>
          <w:color w:val="auto"/>
          <w:lang w:val="en-US" w:eastAsia="zh-CN"/>
        </w:rPr>
        <w:t>武汉市科技计划项目管理系统是全市科技</w:t>
      </w:r>
      <w:r>
        <w:rPr>
          <w:rFonts w:hint="eastAsia" w:eastAsia="宋体"/>
          <w:color w:val="auto"/>
          <w:lang w:val="en-US" w:eastAsia="zh-CN"/>
        </w:rPr>
        <w:t>项目</w:t>
      </w:r>
      <w:r>
        <w:rPr>
          <w:rFonts w:eastAsia="宋体"/>
          <w:color w:val="auto"/>
          <w:lang w:val="en-US" w:eastAsia="zh-CN"/>
        </w:rPr>
        <w:t>管理体系的</w:t>
      </w:r>
      <w:r>
        <w:rPr>
          <w:rFonts w:hint="eastAsia" w:eastAsia="宋体"/>
          <w:color w:val="auto"/>
          <w:lang w:val="en-US" w:eastAsia="zh-CN"/>
        </w:rPr>
        <w:t>核心</w:t>
      </w:r>
      <w:r>
        <w:rPr>
          <w:rFonts w:eastAsia="宋体"/>
          <w:color w:val="auto"/>
          <w:lang w:val="en-US" w:eastAsia="zh-CN"/>
        </w:rPr>
        <w:t>信息化支撑平台，全面承载市级各类科技专项从申报受理、形式审查、线上评审立项、任务书签订、中期</w:t>
      </w:r>
      <w:r>
        <w:rPr>
          <w:rFonts w:hint="eastAsia" w:eastAsia="宋体"/>
          <w:color w:val="auto"/>
          <w:lang w:val="en-US" w:eastAsia="zh-CN"/>
        </w:rPr>
        <w:t>检查</w:t>
      </w:r>
      <w:r>
        <w:rPr>
          <w:rFonts w:hint="eastAsia"/>
          <w:color w:val="auto"/>
          <w:lang w:val="en-US" w:eastAsia="zh-CN"/>
        </w:rPr>
        <w:t>到</w:t>
      </w:r>
      <w:r>
        <w:rPr>
          <w:rFonts w:eastAsia="宋体"/>
          <w:color w:val="auto"/>
          <w:lang w:val="en-US" w:eastAsia="zh-CN"/>
        </w:rPr>
        <w:t>结题验收的全生命周期线上管理工作。平台整合建设了统一的内</w:t>
      </w:r>
      <w:r>
        <w:rPr>
          <w:rFonts w:hint="eastAsia" w:eastAsia="宋体"/>
          <w:color w:val="auto"/>
          <w:lang w:val="en-US" w:eastAsia="zh-CN"/>
        </w:rPr>
        <w:t>外</w:t>
      </w:r>
      <w:r>
        <w:rPr>
          <w:rFonts w:eastAsia="宋体"/>
          <w:color w:val="auto"/>
          <w:lang w:val="en-US" w:eastAsia="zh-CN"/>
        </w:rPr>
        <w:t>部用户库、</w:t>
      </w:r>
      <w:r>
        <w:rPr>
          <w:rFonts w:hint="eastAsia" w:eastAsia="宋体"/>
          <w:color w:val="auto"/>
          <w:lang w:val="en-US" w:eastAsia="zh-CN"/>
        </w:rPr>
        <w:t>科技</w:t>
      </w:r>
      <w:r>
        <w:rPr>
          <w:rFonts w:eastAsia="宋体"/>
          <w:color w:val="auto"/>
          <w:lang w:val="en-US" w:eastAsia="zh-CN"/>
        </w:rPr>
        <w:t>专家库、项目数据库，打通业务流程、数据流转与多方协同通道，面向</w:t>
      </w:r>
      <w:r>
        <w:rPr>
          <w:rFonts w:hint="eastAsia" w:eastAsia="宋体"/>
          <w:color w:val="auto"/>
          <w:lang w:val="en-US" w:eastAsia="zh-CN"/>
        </w:rPr>
        <w:t>市科创局</w:t>
      </w:r>
      <w:r>
        <w:rPr>
          <w:rFonts w:eastAsia="宋体"/>
          <w:color w:val="auto"/>
          <w:lang w:val="en-US" w:eastAsia="zh-CN"/>
        </w:rPr>
        <w:t>各业务处室、</w:t>
      </w:r>
      <w:r>
        <w:rPr>
          <w:rFonts w:hint="eastAsia" w:eastAsia="宋体"/>
          <w:color w:val="auto"/>
          <w:lang w:val="en-US" w:eastAsia="zh-CN"/>
        </w:rPr>
        <w:t>区科技</w:t>
      </w:r>
      <w:r>
        <w:rPr>
          <w:rFonts w:eastAsia="宋体"/>
          <w:color w:val="auto"/>
          <w:lang w:val="en-US" w:eastAsia="zh-CN"/>
        </w:rPr>
        <w:t>管理</w:t>
      </w:r>
      <w:r>
        <w:rPr>
          <w:rFonts w:hint="eastAsia" w:eastAsia="宋体"/>
          <w:color w:val="auto"/>
          <w:lang w:val="en-US" w:eastAsia="zh-CN"/>
        </w:rPr>
        <w:t>部门</w:t>
      </w:r>
      <w:r>
        <w:rPr>
          <w:rFonts w:eastAsia="宋体"/>
          <w:color w:val="auto"/>
          <w:lang w:val="en-US" w:eastAsia="zh-CN"/>
        </w:rPr>
        <w:t>、全市企事业单位、高校、科研院所及评审专家等多类主体提供一站式在线服务。</w:t>
      </w:r>
    </w:p>
    <w:p w14:paraId="37B37183">
      <w:pPr>
        <w:keepNext w:val="0"/>
        <w:keepLines w:val="0"/>
        <w:pageBreakBefore w:val="0"/>
        <w:widowControl w:val="0"/>
        <w:kinsoku/>
        <w:wordWrap/>
        <w:overflowPunct/>
        <w:topLinePunct w:val="0"/>
        <w:autoSpaceDE/>
        <w:autoSpaceDN/>
        <w:bidi w:val="0"/>
        <w:adjustRightInd/>
        <w:snapToGrid/>
        <w:ind w:firstLine="480" w:firstLineChars="200"/>
        <w:textAlignment w:val="auto"/>
        <w:rPr>
          <w:rFonts w:eastAsia="宋体"/>
          <w:color w:val="auto"/>
          <w:lang w:val="en-US" w:eastAsia="zh-CN"/>
        </w:rPr>
      </w:pPr>
      <w:r>
        <w:rPr>
          <w:rFonts w:eastAsia="宋体"/>
          <w:color w:val="auto"/>
          <w:lang w:val="en-US" w:eastAsia="zh-CN"/>
        </w:rPr>
        <w:t>近年来，</w:t>
      </w:r>
      <w:r>
        <w:rPr>
          <w:rFonts w:hint="eastAsia"/>
          <w:color w:val="auto"/>
          <w:lang w:val="en-US" w:eastAsia="zh-CN"/>
        </w:rPr>
        <w:t>武汉</w:t>
      </w:r>
      <w:r>
        <w:rPr>
          <w:rFonts w:eastAsia="宋体"/>
          <w:color w:val="auto"/>
          <w:lang w:val="en-US" w:eastAsia="zh-CN"/>
        </w:rPr>
        <w:t>科技创新工作持续提速，科技项目立项数量逐年增长，业务链条</w:t>
      </w:r>
      <w:r>
        <w:rPr>
          <w:rFonts w:hint="eastAsia" w:eastAsia="宋体"/>
          <w:color w:val="auto"/>
          <w:lang w:val="en-US" w:eastAsia="zh-CN"/>
        </w:rPr>
        <w:t>长度</w:t>
      </w:r>
      <w:r>
        <w:rPr>
          <w:rFonts w:eastAsia="宋体"/>
          <w:color w:val="auto"/>
          <w:lang w:val="en-US" w:eastAsia="zh-CN"/>
        </w:rPr>
        <w:t>、管理精细化要求提高</w:t>
      </w:r>
      <w:r>
        <w:rPr>
          <w:rFonts w:hint="eastAsia" w:eastAsia="宋体"/>
          <w:color w:val="auto"/>
          <w:lang w:val="en-US" w:eastAsia="zh-CN"/>
        </w:rPr>
        <w:t>，</w:t>
      </w:r>
      <w:r>
        <w:rPr>
          <w:rFonts w:eastAsia="宋体"/>
          <w:color w:val="auto"/>
          <w:lang w:val="en-US" w:eastAsia="zh-CN"/>
        </w:rPr>
        <w:t>政务服务改革深化、网络运营商监管规则更新、网络安全等级保护要求升级，大数据、人工智能等新一代信息技术在政务领域的</w:t>
      </w:r>
      <w:r>
        <w:rPr>
          <w:rFonts w:hint="eastAsia"/>
          <w:color w:val="auto"/>
          <w:lang w:val="en-US" w:eastAsia="zh-CN"/>
        </w:rPr>
        <w:t>开始</w:t>
      </w:r>
      <w:r>
        <w:rPr>
          <w:rFonts w:eastAsia="宋体"/>
          <w:color w:val="auto"/>
          <w:lang w:val="en-US" w:eastAsia="zh-CN"/>
        </w:rPr>
        <w:t>深度应用，原有系统在长期运行过程中，逐步显现出性能瓶颈、功能短板、流程不规范、</w:t>
      </w:r>
      <w:r>
        <w:rPr>
          <w:rFonts w:hint="eastAsia" w:eastAsia="宋体"/>
          <w:color w:val="auto"/>
          <w:lang w:val="en-US" w:eastAsia="zh-CN"/>
        </w:rPr>
        <w:t>填报表单</w:t>
      </w:r>
      <w:r>
        <w:rPr>
          <w:rFonts w:eastAsia="宋体"/>
          <w:color w:val="auto"/>
          <w:lang w:val="en-US" w:eastAsia="zh-CN"/>
        </w:rPr>
        <w:t>标准不统一、智能化能力不足、运维保障压力增大等一系列问题，已难以完全匹配现阶段科技管理高质量发展的现实需求。</w:t>
      </w:r>
    </w:p>
    <w:p w14:paraId="13E7AB07">
      <w:pPr>
        <w:bidi w:val="0"/>
        <w:rPr>
          <w:color w:val="auto"/>
        </w:rPr>
      </w:pPr>
      <w:r>
        <w:rPr>
          <w:color w:val="auto"/>
          <w:lang w:val="en-US" w:eastAsia="zh-CN"/>
        </w:rPr>
        <w:t>一是系统运行性能与底层架构存在短板。随着历年项目数据不断累积，尤其是 2021—2026 年大量前资助历史项目</w:t>
      </w:r>
      <w:r>
        <w:rPr>
          <w:rFonts w:hint="eastAsia"/>
          <w:color w:val="auto"/>
          <w:lang w:val="en-US" w:eastAsia="zh-CN"/>
        </w:rPr>
        <w:t>表单</w:t>
      </w:r>
      <w:r>
        <w:rPr>
          <w:color w:val="auto"/>
          <w:lang w:val="en-US" w:eastAsia="zh-CN"/>
        </w:rPr>
        <w:t>沉淀，系统在大批量数据查询、列表加载、信息导出等高频操作场景下出现响应变慢、页面卡顿等现象；部分底层数据表结构、通用字段无法满足新增业务需求，系统存在空值异常、权限管控漏洞</w:t>
      </w:r>
      <w:r>
        <w:rPr>
          <w:rFonts w:hint="eastAsia"/>
          <w:color w:val="auto"/>
          <w:lang w:val="en-US" w:eastAsia="zh-CN"/>
        </w:rPr>
        <w:t>、生效机制异常</w:t>
      </w:r>
      <w:r>
        <w:rPr>
          <w:color w:val="auto"/>
          <w:lang w:val="en-US" w:eastAsia="zh-CN"/>
        </w:rPr>
        <w:t>等隐性故障，影响业务流程正常流转。原有数据库运维模式较为粗放，缺乏自动化运维机制，长期数据堆积进一步加剧系统运行负荷。</w:t>
      </w:r>
    </w:p>
    <w:p w14:paraId="0FFFB4AB">
      <w:pPr>
        <w:bidi w:val="0"/>
        <w:rPr>
          <w:color w:val="auto"/>
        </w:rPr>
      </w:pPr>
      <w:r>
        <w:rPr>
          <w:color w:val="auto"/>
          <w:lang w:val="en-US" w:eastAsia="zh-CN"/>
        </w:rPr>
        <w:t>二是核心业务功能与流程管控有待完善。网评专家配置、项目负责人及基础信息变更、申报流程流转、立项编号管理等常用功能操作繁琐，部分历史操作依赖后台直接修改，缺乏标准化线上流程，不符合政务管理溯源、风险防控的要求；多模块之间数据联动不足，立项、中期、验收等环节信息相互割裂，管理人员无法一站式查看项目全流程进展，日常监管效率受限。</w:t>
      </w:r>
    </w:p>
    <w:p w14:paraId="1DA0883B">
      <w:pPr>
        <w:bidi w:val="0"/>
        <w:rPr>
          <w:color w:val="auto"/>
        </w:rPr>
      </w:pPr>
      <w:r>
        <w:rPr>
          <w:color w:val="auto"/>
          <w:lang w:val="en-US" w:eastAsia="zh-CN"/>
        </w:rPr>
        <w:t>三是</w:t>
      </w:r>
      <w:r>
        <w:rPr>
          <w:rFonts w:hint="eastAsia"/>
          <w:color w:val="auto"/>
          <w:lang w:val="en-US" w:eastAsia="zh-CN"/>
        </w:rPr>
        <w:t>数据接口联通对</w:t>
      </w:r>
      <w:r>
        <w:rPr>
          <w:color w:val="auto"/>
          <w:lang w:val="en-US" w:eastAsia="zh-CN"/>
        </w:rPr>
        <w:t>智能应用</w:t>
      </w:r>
      <w:r>
        <w:rPr>
          <w:rFonts w:hint="eastAsia"/>
          <w:color w:val="auto"/>
          <w:lang w:val="en-US" w:eastAsia="zh-CN"/>
        </w:rPr>
        <w:t>支撑</w:t>
      </w:r>
      <w:r>
        <w:rPr>
          <w:color w:val="auto"/>
          <w:lang w:val="en-US" w:eastAsia="zh-CN"/>
        </w:rPr>
        <w:t>不足。当前全市正加快推进政务数字化、智能化转型，AI 智能审查、智能报告生成等新型应用逐步落地，但现有系统与智能化模块的对接接口、数据交互机制仍需优化完善，接口稳定性、异常处置能力有待加强，需配套改造打通智能审查与传统业务流程的数据通道。</w:t>
      </w:r>
    </w:p>
    <w:p w14:paraId="69A2D05B">
      <w:pPr>
        <w:bidi w:val="0"/>
        <w:rPr>
          <w:color w:val="auto"/>
        </w:rPr>
      </w:pPr>
      <w:r>
        <w:rPr>
          <w:color w:val="auto"/>
          <w:lang w:val="en-US" w:eastAsia="zh-CN"/>
        </w:rPr>
        <w:t>四是历史存量</w:t>
      </w:r>
      <w:r>
        <w:rPr>
          <w:rFonts w:hint="eastAsia"/>
          <w:color w:val="auto"/>
          <w:lang w:val="en-US" w:eastAsia="zh-CN"/>
        </w:rPr>
        <w:t>填报表单</w:t>
      </w:r>
      <w:r>
        <w:rPr>
          <w:color w:val="auto"/>
          <w:lang w:val="en-US" w:eastAsia="zh-CN"/>
        </w:rPr>
        <w:t>管理不规范。系统内 2021 至 2026 年度前资助项目体量庞大、申报类型繁多，早期项目</w:t>
      </w:r>
      <w:r>
        <w:rPr>
          <w:rFonts w:hint="eastAsia"/>
          <w:color w:val="auto"/>
          <w:lang w:val="en-US" w:eastAsia="zh-CN"/>
        </w:rPr>
        <w:t>填报表单</w:t>
      </w:r>
      <w:r>
        <w:rPr>
          <w:color w:val="auto"/>
          <w:lang w:val="en-US" w:eastAsia="zh-CN"/>
        </w:rPr>
        <w:t>存在字段缺失、内容乱码、数据重复、格式混乱、跨表关联断裂等问题；各类申报书等业务表单标准</w:t>
      </w:r>
      <w:r>
        <w:rPr>
          <w:rFonts w:hint="eastAsia"/>
          <w:color w:val="auto"/>
          <w:lang w:val="en-US" w:eastAsia="zh-CN"/>
        </w:rPr>
        <w:t>不</w:t>
      </w:r>
      <w:r>
        <w:rPr>
          <w:color w:val="auto"/>
          <w:lang w:val="en-US" w:eastAsia="zh-CN"/>
        </w:rPr>
        <w:t>统一，不同年度类型表单规则不一，制约了数据统计、分析、共享及智能化应用的落地。</w:t>
      </w:r>
    </w:p>
    <w:p w14:paraId="07FC34F5">
      <w:pPr>
        <w:bidi w:val="0"/>
        <w:rPr>
          <w:color w:val="auto"/>
        </w:rPr>
      </w:pPr>
      <w:r>
        <w:rPr>
          <w:color w:val="auto"/>
          <w:lang w:val="en-US" w:eastAsia="zh-CN"/>
        </w:rPr>
        <w:t>五是日常运维与安全保障压力持续增加。系统服务对象多、使用频次高，申报、评审、中期、验收等关键时段业务并发量大，对故障响应、现场支撑、应急处置能力提出更高要求。同时云环境部署、网络安全、数据安全、定期备份、安全事件应急等工作需常态化落实，保障系统全年不间断安全稳定运行。</w:t>
      </w:r>
    </w:p>
    <w:p w14:paraId="3A229C37">
      <w:pPr>
        <w:bidi w:val="0"/>
        <w:rPr>
          <w:color w:val="auto"/>
        </w:rPr>
      </w:pPr>
      <w:r>
        <w:rPr>
          <w:color w:val="auto"/>
          <w:lang w:val="en-US" w:eastAsia="zh-CN"/>
        </w:rPr>
        <w:t>为全面破解上述问题，进一步优化</w:t>
      </w:r>
      <w:r>
        <w:rPr>
          <w:rFonts w:hint="eastAsia"/>
          <w:color w:val="auto"/>
          <w:lang w:val="en-US" w:eastAsia="zh-CN"/>
        </w:rPr>
        <w:t>系统</w:t>
      </w:r>
      <w:r>
        <w:rPr>
          <w:color w:val="auto"/>
          <w:lang w:val="en-US" w:eastAsia="zh-CN"/>
        </w:rPr>
        <w:t>使用体验、规范业务管理流程</w:t>
      </w:r>
      <w:r>
        <w:rPr>
          <w:rFonts w:hint="eastAsia"/>
          <w:color w:val="auto"/>
          <w:lang w:val="en-US" w:eastAsia="zh-CN"/>
        </w:rPr>
        <w:t>与系统表单</w:t>
      </w:r>
      <w:r>
        <w:rPr>
          <w:color w:val="auto"/>
          <w:lang w:val="en-US" w:eastAsia="zh-CN"/>
        </w:rPr>
        <w:t>、强化安全防护能力、支撑智能化应用落地，保障</w:t>
      </w:r>
      <w:r>
        <w:rPr>
          <w:rFonts w:hint="eastAsia"/>
          <w:color w:val="auto"/>
          <w:lang w:val="en-US" w:eastAsia="zh-CN"/>
        </w:rPr>
        <w:t>服务期内</w:t>
      </w:r>
      <w:r>
        <w:rPr>
          <w:color w:val="auto"/>
          <w:lang w:val="en-US" w:eastAsia="zh-CN"/>
        </w:rPr>
        <w:t>全市科技计划项目管理工作平稳有序开展，现组织实施</w:t>
      </w:r>
      <w:r>
        <w:rPr>
          <w:rFonts w:hint="eastAsia"/>
          <w:color w:val="auto"/>
          <w:lang w:val="en-US" w:eastAsia="zh-CN"/>
        </w:rPr>
        <w:t>本服务期内</w:t>
      </w:r>
      <w:r>
        <w:rPr>
          <w:color w:val="auto"/>
          <w:lang w:val="en-US" w:eastAsia="zh-CN"/>
        </w:rPr>
        <w:t>武汉市科技计划项目管理系统运维</w:t>
      </w:r>
      <w:r>
        <w:rPr>
          <w:rFonts w:hint="eastAsia"/>
          <w:color w:val="auto"/>
          <w:lang w:val="en-US" w:eastAsia="zh-CN"/>
        </w:rPr>
        <w:t>及</w:t>
      </w:r>
      <w:r>
        <w:rPr>
          <w:color w:val="auto"/>
          <w:lang w:val="en-US" w:eastAsia="zh-CN"/>
        </w:rPr>
        <w:t>优化项目。通过开展系统整体优化改造、前资助项目全周期</w:t>
      </w:r>
      <w:r>
        <w:rPr>
          <w:rFonts w:hint="eastAsia"/>
          <w:color w:val="auto"/>
          <w:lang w:val="en-US" w:eastAsia="zh-CN"/>
        </w:rPr>
        <w:t>填报表单规范化梳理、系统安全保障及运行维护</w:t>
      </w:r>
      <w:r>
        <w:rPr>
          <w:color w:val="auto"/>
          <w:lang w:val="en-US" w:eastAsia="zh-CN"/>
        </w:rPr>
        <w:t>三项核心工作，全面提升平台综合服务能力，助力全市科技创新管理工作数字化、规范化、智能化水平再上新台阶。</w:t>
      </w:r>
    </w:p>
    <w:p w14:paraId="7D50AD38">
      <w:pPr>
        <w:pStyle w:val="3"/>
        <w:numPr>
          <w:ilvl w:val="0"/>
          <w:numId w:val="0"/>
        </w:numPr>
        <w:spacing w:line="360" w:lineRule="auto"/>
        <w:rPr>
          <w:rFonts w:asciiTheme="majorEastAsia" w:hAnsiTheme="majorEastAsia" w:eastAsiaTheme="majorEastAsia" w:cstheme="majorEastAsia"/>
          <w:color w:val="auto"/>
          <w:sz w:val="28"/>
          <w:szCs w:val="22"/>
          <w:lang w:eastAsia="zh-Hans"/>
        </w:rPr>
      </w:pPr>
      <w:r>
        <w:rPr>
          <w:rFonts w:hint="eastAsia" w:asciiTheme="majorEastAsia" w:hAnsiTheme="majorEastAsia" w:eastAsiaTheme="majorEastAsia" w:cstheme="majorEastAsia"/>
          <w:color w:val="auto"/>
          <w:sz w:val="28"/>
          <w:szCs w:val="22"/>
        </w:rPr>
        <w:t>2</w:t>
      </w:r>
      <w:r>
        <w:rPr>
          <w:rFonts w:asciiTheme="majorEastAsia" w:hAnsiTheme="majorEastAsia" w:eastAsiaTheme="majorEastAsia" w:cstheme="majorEastAsia"/>
          <w:color w:val="auto"/>
          <w:sz w:val="28"/>
          <w:szCs w:val="22"/>
          <w:lang w:eastAsia="zh-Hans"/>
        </w:rPr>
        <w:t>.2</w:t>
      </w:r>
      <w:r>
        <w:rPr>
          <w:rFonts w:hint="eastAsia" w:asciiTheme="majorEastAsia" w:hAnsiTheme="majorEastAsia" w:eastAsiaTheme="majorEastAsia" w:cstheme="majorEastAsia"/>
          <w:color w:val="auto"/>
          <w:sz w:val="28"/>
          <w:szCs w:val="22"/>
        </w:rPr>
        <w:t xml:space="preserve"> </w:t>
      </w:r>
      <w:r>
        <w:rPr>
          <w:rFonts w:hint="eastAsia" w:asciiTheme="majorEastAsia" w:hAnsiTheme="majorEastAsia" w:eastAsiaTheme="majorEastAsia" w:cstheme="majorEastAsia"/>
          <w:color w:val="auto"/>
          <w:sz w:val="28"/>
          <w:szCs w:val="22"/>
          <w:lang w:eastAsia="zh-Hans"/>
        </w:rPr>
        <w:t>建设目标</w:t>
      </w:r>
    </w:p>
    <w:p w14:paraId="67091956">
      <w:pPr>
        <w:ind w:firstLine="420"/>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eastAsia="zh-Hans"/>
        </w:rPr>
        <w:t>满足</w:t>
      </w:r>
      <w:r>
        <w:rPr>
          <w:rFonts w:hint="eastAsia"/>
          <w:color w:val="auto"/>
          <w:lang w:val="en-US" w:eastAsia="zh-CN"/>
        </w:rPr>
        <w:t>服务期内</w:t>
      </w:r>
      <w:r>
        <w:rPr>
          <w:rFonts w:hint="eastAsia" w:asciiTheme="majorEastAsia" w:hAnsiTheme="majorEastAsia" w:eastAsiaTheme="majorEastAsia" w:cstheme="majorEastAsia"/>
          <w:bCs/>
          <w:color w:val="auto"/>
          <w:lang w:eastAsia="zh-Hans"/>
        </w:rPr>
        <w:t>科技计划项目管理工作需要，严格按照工作标准对市科技计划项目管理系统进行优化维护，主要包括：</w:t>
      </w:r>
    </w:p>
    <w:p w14:paraId="0313B36E">
      <w:pPr>
        <w:ind w:firstLine="420"/>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val="en-US" w:eastAsia="zh-CN"/>
        </w:rPr>
        <w:t>1、</w:t>
      </w:r>
      <w:r>
        <w:rPr>
          <w:rFonts w:hint="eastAsia" w:asciiTheme="majorEastAsia" w:hAnsiTheme="majorEastAsia" w:eastAsiaTheme="majorEastAsia" w:cstheme="majorEastAsia"/>
          <w:bCs/>
          <w:color w:val="auto"/>
          <w:lang w:eastAsia="zh-Hans"/>
        </w:rPr>
        <w:t>保障系统稳定运行</w:t>
      </w:r>
      <w:r>
        <w:rPr>
          <w:rFonts w:hint="eastAsia" w:asciiTheme="majorEastAsia" w:hAnsiTheme="majorEastAsia" w:eastAsiaTheme="majorEastAsia" w:cstheme="majorEastAsia"/>
          <w:bCs/>
          <w:color w:val="auto"/>
          <w:lang w:eastAsia="zh-CN"/>
        </w:rPr>
        <w:t>。</w:t>
      </w:r>
      <w:r>
        <w:rPr>
          <w:rFonts w:hint="eastAsia" w:asciiTheme="majorEastAsia" w:hAnsiTheme="majorEastAsia" w:eastAsiaTheme="majorEastAsia" w:cstheme="majorEastAsia"/>
          <w:bCs/>
          <w:color w:val="auto"/>
          <w:lang w:eastAsia="zh-Hans"/>
        </w:rPr>
        <w:t>优化系统底层性能与数据库运行状态，强化系统安全防护、数据备份、应急响应及故障</w:t>
      </w:r>
      <w:r>
        <w:rPr>
          <w:rFonts w:hint="eastAsia" w:asciiTheme="majorEastAsia" w:hAnsiTheme="majorEastAsia" w:eastAsiaTheme="majorEastAsia" w:cstheme="majorEastAsia"/>
          <w:bCs/>
          <w:color w:val="auto"/>
          <w:lang w:eastAsia="zh-CN"/>
        </w:rPr>
        <w:t>预警及</w:t>
      </w:r>
      <w:r>
        <w:rPr>
          <w:rFonts w:hint="eastAsia" w:asciiTheme="majorEastAsia" w:hAnsiTheme="majorEastAsia" w:eastAsiaTheme="majorEastAsia" w:cstheme="majorEastAsia"/>
          <w:bCs/>
          <w:color w:val="auto"/>
          <w:lang w:eastAsia="zh-Hans"/>
        </w:rPr>
        <w:t>处置能力，保障系统在高并发、大数据量访问场景下平稳运行，满足内外网日常业务使用需求。</w:t>
      </w:r>
    </w:p>
    <w:p w14:paraId="71D80433">
      <w:pPr>
        <w:ind w:firstLine="420"/>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val="en-US" w:eastAsia="zh-CN"/>
        </w:rPr>
        <w:t>2、</w:t>
      </w:r>
      <w:r>
        <w:rPr>
          <w:rFonts w:hint="eastAsia" w:asciiTheme="majorEastAsia" w:hAnsiTheme="majorEastAsia" w:eastAsiaTheme="majorEastAsia" w:cstheme="majorEastAsia"/>
          <w:bCs/>
          <w:color w:val="auto"/>
          <w:lang w:eastAsia="zh-Hans"/>
        </w:rPr>
        <w:t>完成全维度功能优化迭代</w:t>
      </w:r>
      <w:r>
        <w:rPr>
          <w:rFonts w:hint="eastAsia" w:asciiTheme="majorEastAsia" w:hAnsiTheme="majorEastAsia" w:eastAsiaTheme="majorEastAsia" w:cstheme="majorEastAsia"/>
          <w:bCs/>
          <w:color w:val="auto"/>
          <w:lang w:eastAsia="zh-CN"/>
        </w:rPr>
        <w:t>。</w:t>
      </w:r>
      <w:r>
        <w:rPr>
          <w:rFonts w:hint="eastAsia" w:asciiTheme="majorEastAsia" w:hAnsiTheme="majorEastAsia" w:eastAsiaTheme="majorEastAsia" w:cstheme="majorEastAsia"/>
          <w:bCs/>
          <w:color w:val="auto"/>
          <w:lang w:eastAsia="zh-Hans"/>
        </w:rPr>
        <w:t>针对</w:t>
      </w:r>
      <w:r>
        <w:rPr>
          <w:rFonts w:hint="eastAsia" w:asciiTheme="majorEastAsia" w:hAnsiTheme="majorEastAsia" w:eastAsiaTheme="majorEastAsia" w:cstheme="majorEastAsia"/>
          <w:bCs/>
          <w:color w:val="auto"/>
          <w:lang w:eastAsia="zh-CN"/>
        </w:rPr>
        <w:t>大</w:t>
      </w:r>
      <w:r>
        <w:rPr>
          <w:rFonts w:hint="eastAsia" w:asciiTheme="majorEastAsia" w:hAnsiTheme="majorEastAsia" w:eastAsiaTheme="majorEastAsia" w:cstheme="majorEastAsia"/>
          <w:bCs/>
          <w:color w:val="auto"/>
          <w:lang w:eastAsia="zh-Hans"/>
        </w:rPr>
        <w:t>数据</w:t>
      </w:r>
      <w:r>
        <w:rPr>
          <w:rFonts w:hint="eastAsia" w:asciiTheme="majorEastAsia" w:hAnsiTheme="majorEastAsia" w:eastAsiaTheme="majorEastAsia" w:cstheme="majorEastAsia"/>
          <w:bCs/>
          <w:color w:val="auto"/>
          <w:lang w:eastAsia="zh-CN"/>
        </w:rPr>
        <w:t>量</w:t>
      </w:r>
      <w:r>
        <w:rPr>
          <w:rFonts w:hint="eastAsia" w:asciiTheme="majorEastAsia" w:hAnsiTheme="majorEastAsia" w:eastAsiaTheme="majorEastAsia" w:cstheme="majorEastAsia"/>
          <w:bCs/>
          <w:color w:val="auto"/>
          <w:lang w:eastAsia="zh-Hans"/>
        </w:rPr>
        <w:t>查询、数据库运维、权限管控、空值异常、AI 智能接口、网评管理、项目变更、申报流程、中期检查等核心模块实施优化升级，完善各类业务功能，简化人工操作，规范业务流程，提升整体使用体验与管理效率。</w:t>
      </w:r>
    </w:p>
    <w:p w14:paraId="7370585B">
      <w:pPr>
        <w:ind w:firstLine="420"/>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val="en-US" w:eastAsia="zh-CN"/>
        </w:rPr>
        <w:t>3、</w:t>
      </w:r>
      <w:r>
        <w:rPr>
          <w:rFonts w:hint="eastAsia" w:asciiTheme="majorEastAsia" w:hAnsiTheme="majorEastAsia" w:eastAsiaTheme="majorEastAsia" w:cstheme="majorEastAsia"/>
          <w:bCs/>
          <w:color w:val="auto"/>
          <w:lang w:eastAsia="zh-Hans"/>
        </w:rPr>
        <w:t>支撑智能化应用落地</w:t>
      </w:r>
      <w:r>
        <w:rPr>
          <w:rFonts w:hint="eastAsia" w:asciiTheme="majorEastAsia" w:hAnsiTheme="majorEastAsia" w:eastAsiaTheme="majorEastAsia" w:cstheme="majorEastAsia"/>
          <w:bCs/>
          <w:color w:val="auto"/>
          <w:lang w:eastAsia="zh-CN"/>
        </w:rPr>
        <w:t>。</w:t>
      </w:r>
      <w:r>
        <w:rPr>
          <w:rFonts w:hint="eastAsia" w:asciiTheme="majorEastAsia" w:hAnsiTheme="majorEastAsia" w:eastAsiaTheme="majorEastAsia" w:cstheme="majorEastAsia"/>
          <w:bCs/>
          <w:color w:val="auto"/>
          <w:lang w:eastAsia="zh-Hans"/>
        </w:rPr>
        <w:t>完善 AI 智能审查、智能报告生成配套接口，保障智能交互、自动审查、报告生成等功能稳定运行，推进系统向数字化、智能化方向升级。</w:t>
      </w:r>
    </w:p>
    <w:p w14:paraId="516C2637">
      <w:pPr>
        <w:ind w:firstLine="420"/>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val="en-US" w:eastAsia="zh-CN"/>
        </w:rPr>
        <w:t>4、</w:t>
      </w:r>
      <w:r>
        <w:rPr>
          <w:rFonts w:hint="eastAsia" w:asciiTheme="majorEastAsia" w:hAnsiTheme="majorEastAsia" w:eastAsiaTheme="majorEastAsia" w:cstheme="majorEastAsia"/>
          <w:bCs/>
          <w:color w:val="auto"/>
          <w:lang w:eastAsia="zh-Hans"/>
        </w:rPr>
        <w:t>规范前资助</w:t>
      </w:r>
      <w:r>
        <w:rPr>
          <w:rFonts w:hint="eastAsia" w:asciiTheme="majorEastAsia" w:hAnsiTheme="majorEastAsia" w:eastAsiaTheme="majorEastAsia" w:cstheme="majorEastAsia"/>
          <w:bCs/>
          <w:color w:val="auto"/>
          <w:lang w:eastAsia="zh-CN"/>
        </w:rPr>
        <w:t>填报表单。</w:t>
      </w:r>
      <w:r>
        <w:rPr>
          <w:rFonts w:hint="eastAsia" w:asciiTheme="majorEastAsia" w:hAnsiTheme="majorEastAsia" w:eastAsiaTheme="majorEastAsia" w:cstheme="majorEastAsia"/>
          <w:bCs/>
          <w:color w:val="auto"/>
          <w:lang w:eastAsia="zh-Hans"/>
        </w:rPr>
        <w:t>完成 2021-2026 年度前资助项目全量存量表单规范化</w:t>
      </w:r>
      <w:r>
        <w:rPr>
          <w:rFonts w:hint="eastAsia" w:asciiTheme="majorEastAsia" w:hAnsiTheme="majorEastAsia" w:eastAsiaTheme="majorEastAsia" w:cstheme="majorEastAsia"/>
          <w:bCs/>
          <w:color w:val="auto"/>
          <w:lang w:eastAsia="zh-CN"/>
        </w:rPr>
        <w:t>梳理</w:t>
      </w:r>
      <w:r>
        <w:rPr>
          <w:rFonts w:hint="eastAsia" w:asciiTheme="majorEastAsia" w:hAnsiTheme="majorEastAsia" w:eastAsiaTheme="majorEastAsia" w:cstheme="majorEastAsia"/>
          <w:bCs/>
          <w:color w:val="auto"/>
          <w:lang w:eastAsia="zh-Hans"/>
        </w:rPr>
        <w:t>，统一业务表单标准、填报规则与版本管理体系，解决历史数据杂乱、数据割裂、表单不规范等问题，形成标准、完整、可复用的科技项目资源。</w:t>
      </w:r>
    </w:p>
    <w:p w14:paraId="052C78C9">
      <w:pPr>
        <w:ind w:firstLine="420"/>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val="en-US" w:eastAsia="zh-CN"/>
        </w:rPr>
        <w:t>5、</w:t>
      </w:r>
      <w:r>
        <w:rPr>
          <w:rFonts w:hint="eastAsia" w:asciiTheme="majorEastAsia" w:hAnsiTheme="majorEastAsia" w:eastAsiaTheme="majorEastAsia" w:cstheme="majorEastAsia"/>
          <w:bCs/>
          <w:color w:val="auto"/>
          <w:lang w:eastAsia="zh-Hans"/>
        </w:rPr>
        <w:t>建立长效运维与</w:t>
      </w:r>
      <w:r>
        <w:rPr>
          <w:rFonts w:hint="eastAsia" w:asciiTheme="majorEastAsia" w:hAnsiTheme="majorEastAsia" w:eastAsiaTheme="majorEastAsia" w:cstheme="majorEastAsia"/>
          <w:bCs/>
          <w:color w:val="auto"/>
          <w:lang w:eastAsia="zh-CN"/>
        </w:rPr>
        <w:t>填报表单</w:t>
      </w:r>
      <w:r>
        <w:rPr>
          <w:rFonts w:hint="eastAsia" w:asciiTheme="majorEastAsia" w:hAnsiTheme="majorEastAsia" w:eastAsiaTheme="majorEastAsia" w:cstheme="majorEastAsia"/>
          <w:bCs/>
          <w:color w:val="auto"/>
          <w:lang w:eastAsia="zh-Hans"/>
        </w:rPr>
        <w:t>管控机制</w:t>
      </w:r>
      <w:r>
        <w:rPr>
          <w:rFonts w:hint="eastAsia" w:asciiTheme="majorEastAsia" w:hAnsiTheme="majorEastAsia" w:eastAsiaTheme="majorEastAsia" w:cstheme="majorEastAsia"/>
          <w:bCs/>
          <w:color w:val="auto"/>
          <w:lang w:eastAsia="zh-CN"/>
        </w:rPr>
        <w:t>。</w:t>
      </w:r>
      <w:r>
        <w:rPr>
          <w:rFonts w:hint="eastAsia" w:asciiTheme="majorEastAsia" w:hAnsiTheme="majorEastAsia" w:eastAsiaTheme="majorEastAsia" w:cstheme="majorEastAsia"/>
          <w:bCs/>
          <w:color w:val="auto"/>
          <w:lang w:eastAsia="zh-Hans"/>
        </w:rPr>
        <w:t>通过专职驻场人员提供全年现场运维服务，落实日常故障处置、业务支撑、需求对接、常态化数据校验等工作，实现系统运行、功能使用、数据质量长期可控。</w:t>
      </w:r>
    </w:p>
    <w:p w14:paraId="14DE499A">
      <w:pPr>
        <w:pStyle w:val="2"/>
        <w:numPr>
          <w:ilvl w:val="0"/>
          <w:numId w:val="0"/>
        </w:numPr>
        <w:adjustRightInd/>
        <w:snapToGrid/>
        <w:spacing w:line="360" w:lineRule="auto"/>
        <w:rPr>
          <w:rFonts w:hint="eastAsia"/>
          <w:color w:val="auto"/>
          <w:sz w:val="32"/>
          <w:szCs w:val="32"/>
          <w:lang w:eastAsia="zh-Hans"/>
        </w:rPr>
      </w:pPr>
      <w:r>
        <w:rPr>
          <w:rFonts w:hint="eastAsia"/>
          <w:color w:val="auto"/>
          <w:sz w:val="32"/>
          <w:szCs w:val="32"/>
          <w:lang w:eastAsia="zh-CN"/>
        </w:rPr>
        <w:t>三、</w:t>
      </w:r>
      <w:r>
        <w:rPr>
          <w:rFonts w:hint="eastAsia"/>
          <w:color w:val="auto"/>
          <w:sz w:val="32"/>
          <w:szCs w:val="32"/>
          <w:lang w:eastAsia="zh-Hans"/>
        </w:rPr>
        <w:t>采购内容</w:t>
      </w:r>
    </w:p>
    <w:p w14:paraId="63176D66">
      <w:pPr>
        <w:pStyle w:val="3"/>
        <w:numPr>
          <w:ilvl w:val="0"/>
          <w:numId w:val="0"/>
        </w:numPr>
        <w:spacing w:line="360" w:lineRule="auto"/>
        <w:rPr>
          <w:rFonts w:hint="eastAsia" w:asciiTheme="majorEastAsia" w:hAnsiTheme="majorEastAsia" w:eastAsiaTheme="majorEastAsia" w:cstheme="majorEastAsia"/>
          <w:color w:val="auto"/>
          <w:sz w:val="28"/>
          <w:szCs w:val="22"/>
          <w:lang w:eastAsia="zh-Hans"/>
        </w:rPr>
      </w:pPr>
      <w:r>
        <w:rPr>
          <w:rFonts w:hint="eastAsia" w:asciiTheme="majorEastAsia" w:hAnsiTheme="majorEastAsia" w:eastAsiaTheme="majorEastAsia" w:cstheme="majorEastAsia"/>
          <w:color w:val="auto"/>
          <w:sz w:val="28"/>
          <w:szCs w:val="22"/>
          <w:lang w:val="en-US" w:eastAsia="zh-CN"/>
        </w:rPr>
        <w:t xml:space="preserve">3.1 </w:t>
      </w:r>
      <w:r>
        <w:rPr>
          <w:rFonts w:hint="eastAsia" w:asciiTheme="majorEastAsia" w:hAnsiTheme="majorEastAsia" w:eastAsiaTheme="majorEastAsia" w:cstheme="majorEastAsia"/>
          <w:color w:val="auto"/>
          <w:sz w:val="28"/>
          <w:szCs w:val="22"/>
          <w:lang w:eastAsia="zh-Hans"/>
        </w:rPr>
        <w:t>系统整体优化改造服务</w:t>
      </w:r>
    </w:p>
    <w:p w14:paraId="5D512BB9">
      <w:pPr>
        <w:rPr>
          <w:color w:val="auto"/>
        </w:rPr>
      </w:pPr>
      <w:r>
        <w:rPr>
          <w:rFonts w:eastAsia="宋体"/>
          <w:color w:val="auto"/>
        </w:rPr>
        <w:t>投标人须针对系统底层性能、全业务模块、流程管控、</w:t>
      </w:r>
      <w:r>
        <w:rPr>
          <w:rFonts w:hint="eastAsia" w:eastAsia="宋体"/>
          <w:color w:val="auto"/>
          <w:lang w:val="en-US" w:eastAsia="zh-CN"/>
        </w:rPr>
        <w:t>数据对接与开发支撑、功能缺陷实施</w:t>
      </w:r>
      <w:r>
        <w:rPr>
          <w:rFonts w:eastAsia="宋体"/>
          <w:color w:val="auto"/>
        </w:rPr>
        <w:t>全维度优化迭代，</w:t>
      </w:r>
      <w:r>
        <w:rPr>
          <w:color w:val="auto"/>
        </w:rPr>
        <w:t>具体如下：</w:t>
      </w:r>
    </w:p>
    <w:p w14:paraId="4A56EE12">
      <w:pPr>
        <w:rPr>
          <w:color w:val="auto"/>
        </w:rPr>
      </w:pPr>
      <w:r>
        <w:rPr>
          <w:color w:val="auto"/>
        </w:rPr>
        <w:t>（一）系统底层性能与稳定性优化</w:t>
      </w:r>
    </w:p>
    <w:p w14:paraId="17F21C84">
      <w:pPr>
        <w:ind w:firstLine="420"/>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val="en-US" w:eastAsia="zh-CN"/>
        </w:rPr>
        <w:t>1、</w:t>
      </w:r>
      <w:r>
        <w:rPr>
          <w:rFonts w:hint="eastAsia" w:asciiTheme="majorEastAsia" w:hAnsiTheme="majorEastAsia" w:eastAsiaTheme="majorEastAsia" w:cstheme="majorEastAsia"/>
          <w:bCs/>
          <w:color w:val="auto"/>
          <w:lang w:eastAsia="zh-Hans"/>
        </w:rPr>
        <w:t>大数据量查询优化：针对项目申报、中期、验收等高频大数据量查询场景，优化查询性能，有效降低页面加载、数据检索、导出的响应时延，缓解大数据量场景下卡顿、查询超时问题。</w:t>
      </w:r>
    </w:p>
    <w:p w14:paraId="1AC03BD2">
      <w:pPr>
        <w:ind w:firstLine="420"/>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val="en-US" w:eastAsia="zh-CN"/>
        </w:rPr>
        <w:t>2、</w:t>
      </w:r>
      <w:r>
        <w:rPr>
          <w:rFonts w:hint="eastAsia" w:asciiTheme="majorEastAsia" w:hAnsiTheme="majorEastAsia" w:eastAsiaTheme="majorEastAsia" w:cstheme="majorEastAsia"/>
          <w:bCs/>
          <w:color w:val="auto"/>
          <w:lang w:eastAsia="zh-Hans"/>
        </w:rPr>
        <w:t>数据库自动维护优化：搭建数据库自动化运维任务，定期清理无效</w:t>
      </w:r>
      <w:r>
        <w:rPr>
          <w:rFonts w:hint="eastAsia" w:asciiTheme="majorEastAsia" w:hAnsiTheme="majorEastAsia" w:eastAsiaTheme="majorEastAsia" w:cstheme="majorEastAsia"/>
          <w:bCs/>
          <w:color w:val="auto"/>
          <w:lang w:val="en-US" w:eastAsia="zh-CN"/>
        </w:rPr>
        <w:t>/</w:t>
      </w:r>
      <w:r>
        <w:rPr>
          <w:rFonts w:hint="eastAsia" w:asciiTheme="majorEastAsia" w:hAnsiTheme="majorEastAsia" w:eastAsiaTheme="majorEastAsia" w:cstheme="majorEastAsia"/>
          <w:bCs/>
          <w:color w:val="auto"/>
          <w:lang w:eastAsia="zh-Hans"/>
        </w:rPr>
        <w:t>过期数据、清理数据碎片，持续改善数据库运行状态。</w:t>
      </w:r>
    </w:p>
    <w:p w14:paraId="3EE44CE5">
      <w:pPr>
        <w:ind w:firstLine="420"/>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val="en-US" w:eastAsia="zh-CN"/>
        </w:rPr>
        <w:t>3、</w:t>
      </w:r>
      <w:r>
        <w:rPr>
          <w:rFonts w:hint="eastAsia" w:asciiTheme="majorEastAsia" w:hAnsiTheme="majorEastAsia" w:eastAsiaTheme="majorEastAsia" w:cstheme="majorEastAsia"/>
          <w:bCs/>
          <w:color w:val="auto"/>
          <w:lang w:eastAsia="zh-Hans"/>
        </w:rPr>
        <w:t>共性字段基础表扩展维护：根据业务新增需求，对系统全局共性字段基础表迭代升级</w:t>
      </w:r>
      <w:r>
        <w:rPr>
          <w:rFonts w:hint="eastAsia" w:asciiTheme="majorEastAsia" w:hAnsiTheme="majorEastAsia" w:eastAsiaTheme="majorEastAsia" w:cstheme="majorEastAsia"/>
          <w:bCs/>
          <w:color w:val="auto"/>
          <w:lang w:eastAsia="zh-CN"/>
        </w:rPr>
        <w:t>。</w:t>
      </w:r>
    </w:p>
    <w:p w14:paraId="78E49DE7">
      <w:pPr>
        <w:ind w:firstLine="420"/>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val="en-US" w:eastAsia="zh-CN"/>
        </w:rPr>
        <w:t>4、完善预警及处理机制：解决空值异常、权限管控漏洞、生效机制异常、字段修改底层数据不一致等问题。</w:t>
      </w:r>
    </w:p>
    <w:p w14:paraId="563AB694">
      <w:pPr>
        <w:rPr>
          <w:color w:val="auto"/>
        </w:rPr>
      </w:pPr>
      <w:r>
        <w:rPr>
          <w:color w:val="auto"/>
        </w:rPr>
        <w:t>（</w:t>
      </w:r>
      <w:r>
        <w:rPr>
          <w:rFonts w:hint="eastAsia"/>
          <w:color w:val="auto"/>
          <w:lang w:eastAsia="zh-CN"/>
        </w:rPr>
        <w:t>二</w:t>
      </w:r>
      <w:r>
        <w:rPr>
          <w:color w:val="auto"/>
        </w:rPr>
        <w:t>）网评功能优化</w:t>
      </w:r>
    </w:p>
    <w:p w14:paraId="41DBF225">
      <w:pPr>
        <w:rPr>
          <w:color w:val="auto"/>
        </w:rPr>
      </w:pPr>
      <w:r>
        <w:rPr>
          <w:color w:val="auto"/>
        </w:rPr>
        <w:t>开发网评分组专家信息一键初始化功能，支持当期评审分组专家信息批量快速重置、初始化导入，简化评审筹备人工配置工作，提升线上项目评审工作效率。</w:t>
      </w:r>
    </w:p>
    <w:p w14:paraId="6185453B">
      <w:pPr>
        <w:keepNext w:val="0"/>
        <w:keepLines w:val="0"/>
        <w:widowControl/>
        <w:suppressLineNumbers w:val="0"/>
        <w:jc w:val="left"/>
        <w:rPr>
          <w:color w:val="auto"/>
        </w:rPr>
      </w:pPr>
      <w:r>
        <w:rPr>
          <w:color w:val="auto"/>
        </w:rPr>
        <w:t>（</w:t>
      </w:r>
      <w:r>
        <w:rPr>
          <w:rFonts w:hint="eastAsia"/>
          <w:color w:val="auto"/>
          <w:lang w:eastAsia="zh-CN"/>
        </w:rPr>
        <w:t>三</w:t>
      </w:r>
      <w:r>
        <w:rPr>
          <w:color w:val="auto"/>
        </w:rPr>
        <w:t>）</w:t>
      </w:r>
      <w:r>
        <w:rPr>
          <w:rFonts w:hint="eastAsia"/>
          <w:color w:val="auto"/>
          <w:lang w:eastAsia="zh-CN"/>
        </w:rPr>
        <w:t>用户库管理功能优化</w:t>
      </w:r>
    </w:p>
    <w:p w14:paraId="3197C498">
      <w:pPr>
        <w:numPr>
          <w:ilvl w:val="0"/>
          <w:numId w:val="0"/>
        </w:numPr>
        <w:ind w:firstLine="480" w:firstLineChars="200"/>
        <w:rPr>
          <w:color w:val="auto"/>
        </w:rPr>
      </w:pPr>
      <w:r>
        <w:rPr>
          <w:rFonts w:hint="eastAsia"/>
          <w:color w:val="auto"/>
          <w:lang w:eastAsia="zh-CN"/>
        </w:rPr>
        <w:t>升级</w:t>
      </w:r>
      <w:r>
        <w:rPr>
          <w:color w:val="auto"/>
        </w:rPr>
        <w:t>用户</w:t>
      </w:r>
      <w:r>
        <w:rPr>
          <w:rFonts w:hint="eastAsia"/>
          <w:color w:val="auto"/>
          <w:lang w:eastAsia="zh-CN"/>
        </w:rPr>
        <w:t>库</w:t>
      </w:r>
      <w:r>
        <w:rPr>
          <w:color w:val="auto"/>
        </w:rPr>
        <w:t>账号</w:t>
      </w:r>
      <w:r>
        <w:rPr>
          <w:rFonts w:hint="eastAsia"/>
          <w:color w:val="auto"/>
          <w:lang w:eastAsia="zh-CN"/>
        </w:rPr>
        <w:t>登录机制，</w:t>
      </w:r>
      <w:r>
        <w:rPr>
          <w:color w:val="auto"/>
        </w:rPr>
        <w:t>新增免验证码登录白名单验证库，适配特殊专家账号、无法正常接收验收短信验证码的内部管理账号，白名单账号</w:t>
      </w:r>
      <w:r>
        <w:rPr>
          <w:rFonts w:hint="eastAsia"/>
          <w:color w:val="auto"/>
          <w:lang w:eastAsia="zh-CN"/>
        </w:rPr>
        <w:t>可免</w:t>
      </w:r>
      <w:r>
        <w:rPr>
          <w:color w:val="auto"/>
        </w:rPr>
        <w:t>短信校验登录，</w:t>
      </w:r>
      <w:r>
        <w:rPr>
          <w:rFonts w:hint="eastAsia"/>
          <w:color w:val="auto"/>
          <w:lang w:eastAsia="zh-CN"/>
        </w:rPr>
        <w:t>规避</w:t>
      </w:r>
      <w:r>
        <w:rPr>
          <w:color w:val="auto"/>
        </w:rPr>
        <w:t>验证码</w:t>
      </w:r>
      <w:r>
        <w:rPr>
          <w:rFonts w:hint="eastAsia"/>
          <w:color w:val="auto"/>
          <w:lang w:eastAsia="zh-CN"/>
        </w:rPr>
        <w:t>收发</w:t>
      </w:r>
      <w:r>
        <w:rPr>
          <w:color w:val="auto"/>
        </w:rPr>
        <w:t>故障阻断业务办理。</w:t>
      </w:r>
    </w:p>
    <w:p w14:paraId="7036DA82">
      <w:pPr>
        <w:rPr>
          <w:color w:val="auto"/>
        </w:rPr>
      </w:pPr>
      <w:r>
        <w:rPr>
          <w:color w:val="auto"/>
        </w:rPr>
        <w:t>（</w:t>
      </w:r>
      <w:r>
        <w:rPr>
          <w:rFonts w:hint="eastAsia"/>
          <w:color w:val="auto"/>
          <w:lang w:eastAsia="zh-CN"/>
        </w:rPr>
        <w:t>四</w:t>
      </w:r>
      <w:r>
        <w:rPr>
          <w:color w:val="auto"/>
        </w:rPr>
        <w:t>）项目申报流程管控优化</w:t>
      </w:r>
    </w:p>
    <w:p w14:paraId="2D569E06">
      <w:pPr>
        <w:ind w:firstLine="420"/>
        <w:rPr>
          <w:rFonts w:hint="eastAsia" w:asciiTheme="majorEastAsia" w:hAnsiTheme="majorEastAsia" w:eastAsiaTheme="majorEastAsia" w:cstheme="majorEastAsia"/>
          <w:bCs/>
          <w:color w:val="auto"/>
          <w:lang w:val="en-US" w:eastAsia="zh-CN"/>
        </w:rPr>
      </w:pPr>
      <w:r>
        <w:rPr>
          <w:rFonts w:hint="eastAsia" w:asciiTheme="majorEastAsia" w:hAnsiTheme="majorEastAsia" w:eastAsiaTheme="majorEastAsia" w:cstheme="majorEastAsia"/>
          <w:bCs/>
          <w:color w:val="auto"/>
          <w:lang w:val="en-US" w:eastAsia="zh-CN"/>
        </w:rPr>
        <w:t>1、流程与审核人动态变更优化：完善项目流转过程中流程节点调整、审核责任人更换功能，修复变更后待办推送延迟、权限未同步、流程状态异常等问题，确保项目归属调整、审核移交等业务顺畅运行。</w:t>
      </w:r>
    </w:p>
    <w:p w14:paraId="2CEBD4A5">
      <w:pPr>
        <w:ind w:firstLine="420"/>
        <w:rPr>
          <w:rFonts w:hint="eastAsia" w:asciiTheme="majorEastAsia" w:hAnsiTheme="majorEastAsia" w:eastAsiaTheme="majorEastAsia" w:cstheme="majorEastAsia"/>
          <w:bCs/>
          <w:color w:val="auto"/>
          <w:lang w:val="en-US" w:eastAsia="zh-Hans"/>
        </w:rPr>
      </w:pPr>
      <w:r>
        <w:rPr>
          <w:rFonts w:hint="eastAsia" w:asciiTheme="majorEastAsia" w:hAnsiTheme="majorEastAsia" w:eastAsiaTheme="majorEastAsia" w:cstheme="majorEastAsia"/>
          <w:bCs/>
          <w:color w:val="auto"/>
          <w:lang w:val="en-US" w:eastAsia="zh-CN"/>
        </w:rPr>
        <w:t>2、填报表单全字段数据导出优化：填报表单主子表全字段数据按选按序直导，支持导出权限分发配置。</w:t>
      </w:r>
    </w:p>
    <w:p w14:paraId="07F5B36C">
      <w:pPr>
        <w:ind w:firstLine="420"/>
        <w:rPr>
          <w:rFonts w:hint="eastAsia" w:asciiTheme="majorEastAsia" w:hAnsiTheme="majorEastAsia" w:eastAsiaTheme="majorEastAsia" w:cstheme="majorEastAsia"/>
          <w:bCs/>
          <w:color w:val="auto"/>
          <w:lang w:val="en-US" w:eastAsia="zh-CN"/>
        </w:rPr>
      </w:pPr>
      <w:r>
        <w:rPr>
          <w:rFonts w:hint="eastAsia" w:asciiTheme="majorEastAsia" w:hAnsiTheme="majorEastAsia" w:eastAsiaTheme="majorEastAsia" w:cstheme="majorEastAsia"/>
          <w:bCs/>
          <w:color w:val="auto"/>
          <w:lang w:val="en-US" w:eastAsia="zh-CN"/>
        </w:rPr>
        <w:t>3、申报表单搭建优化：支持常规表单模板一键引用，配套提供个性化快速调整功能，提升表单搭建效率；消减表单冗余。</w:t>
      </w:r>
    </w:p>
    <w:p w14:paraId="13412F4C">
      <w:pPr>
        <w:rPr>
          <w:color w:val="auto"/>
        </w:rPr>
      </w:pPr>
      <w:r>
        <w:rPr>
          <w:color w:val="auto"/>
        </w:rPr>
        <w:t>（</w:t>
      </w:r>
      <w:r>
        <w:rPr>
          <w:rFonts w:hint="eastAsia"/>
          <w:color w:val="auto"/>
          <w:lang w:eastAsia="zh-CN"/>
        </w:rPr>
        <w:t>五</w:t>
      </w:r>
      <w:r>
        <w:rPr>
          <w:color w:val="auto"/>
        </w:rPr>
        <w:t>）中期检查</w:t>
      </w:r>
      <w:r>
        <w:rPr>
          <w:rFonts w:hint="eastAsia"/>
          <w:color w:val="auto"/>
          <w:lang w:eastAsia="zh-CN"/>
        </w:rPr>
        <w:t>、验收</w:t>
      </w:r>
      <w:r>
        <w:rPr>
          <w:color w:val="auto"/>
        </w:rPr>
        <w:t>功能优化</w:t>
      </w:r>
    </w:p>
    <w:p w14:paraId="084CC778">
      <w:pPr>
        <w:keepNext w:val="0"/>
        <w:keepLines w:val="0"/>
        <w:widowControl/>
        <w:suppressLineNumbers w:val="0"/>
        <w:jc w:val="left"/>
        <w:rPr>
          <w:rFonts w:hint="eastAsia" w:eastAsia="宋体"/>
          <w:color w:val="auto"/>
          <w:highlight w:val="none"/>
          <w:lang w:eastAsia="zh-CN"/>
        </w:rPr>
      </w:pPr>
      <w:r>
        <w:rPr>
          <w:color w:val="auto"/>
        </w:rPr>
        <w:t>分别开发管</w:t>
      </w:r>
      <w:r>
        <w:rPr>
          <w:color w:val="auto"/>
          <w:highlight w:val="none"/>
        </w:rPr>
        <w:t>理后台、</w:t>
      </w:r>
      <w:r>
        <w:rPr>
          <w:rFonts w:eastAsia="宋体"/>
          <w:color w:val="auto"/>
          <w:highlight w:val="none"/>
        </w:rPr>
        <w:t>申报单位用户端双端中期进展查询页面，两端均可实时查看</w:t>
      </w:r>
      <w:r>
        <w:rPr>
          <w:rFonts w:hint="eastAsia"/>
          <w:color w:val="auto"/>
          <w:highlight w:val="none"/>
          <w:lang w:eastAsia="zh-CN"/>
        </w:rPr>
        <w:t>执行情况报告填报、</w:t>
      </w:r>
      <w:r>
        <w:rPr>
          <w:rFonts w:eastAsia="宋体"/>
          <w:color w:val="auto"/>
          <w:highlight w:val="none"/>
        </w:rPr>
        <w:t>审核</w:t>
      </w:r>
      <w:r>
        <w:rPr>
          <w:rFonts w:hint="eastAsia"/>
          <w:color w:val="auto"/>
          <w:highlight w:val="none"/>
          <w:lang w:eastAsia="zh-CN"/>
        </w:rPr>
        <w:t>、提交记录</w:t>
      </w:r>
      <w:r>
        <w:rPr>
          <w:rFonts w:eastAsia="宋体"/>
          <w:color w:val="auto"/>
          <w:highlight w:val="none"/>
        </w:rPr>
        <w:t>；实现</w:t>
      </w:r>
      <w:r>
        <w:rPr>
          <w:rFonts w:hint="eastAsia"/>
          <w:color w:val="auto"/>
          <w:highlight w:val="none"/>
          <w:lang w:eastAsia="zh-CN"/>
        </w:rPr>
        <w:t>单位端</w:t>
      </w:r>
      <w:r>
        <w:rPr>
          <w:rFonts w:eastAsia="宋体"/>
          <w:color w:val="auto"/>
          <w:highlight w:val="none"/>
        </w:rPr>
        <w:t>自主跟踪办理进度、管理端批量监管全部在研项目中期推进情况。</w:t>
      </w:r>
      <w:r>
        <w:rPr>
          <w:rFonts w:ascii="宋体" w:hAnsi="宋体" w:eastAsia="宋体" w:cs="宋体"/>
          <w:color w:val="auto"/>
          <w:kern w:val="0"/>
          <w:sz w:val="24"/>
          <w:szCs w:val="24"/>
          <w:lang w:val="en-US" w:eastAsia="zh-CN" w:bidi="ar"/>
        </w:rPr>
        <w:t>优化完善</w:t>
      </w:r>
      <w:r>
        <w:rPr>
          <w:rFonts w:hint="eastAsia" w:ascii="宋体" w:hAnsi="宋体" w:eastAsia="宋体" w:cs="宋体"/>
          <w:color w:val="auto"/>
          <w:kern w:val="0"/>
          <w:sz w:val="24"/>
          <w:szCs w:val="24"/>
          <w:lang w:val="en-US" w:eastAsia="zh-CN" w:bidi="ar"/>
        </w:rPr>
        <w:t>验收查询多维度统计</w:t>
      </w:r>
      <w:r>
        <w:rPr>
          <w:rFonts w:hint="eastAsia" w:ascii="宋体" w:hAnsi="宋体" w:cs="宋体"/>
          <w:color w:val="auto"/>
          <w:kern w:val="0"/>
          <w:sz w:val="24"/>
          <w:szCs w:val="24"/>
          <w:lang w:val="en-US" w:eastAsia="zh-CN" w:bidi="ar"/>
        </w:rPr>
        <w:t>功能</w:t>
      </w:r>
      <w:r>
        <w:rPr>
          <w:rFonts w:hint="eastAsia" w:ascii="宋体" w:hAnsi="宋体" w:eastAsia="宋体" w:cs="宋体"/>
          <w:color w:val="auto"/>
          <w:kern w:val="0"/>
          <w:sz w:val="24"/>
          <w:szCs w:val="24"/>
          <w:lang w:val="en-US" w:eastAsia="zh-CN" w:bidi="ar"/>
        </w:rPr>
        <w:t>。</w:t>
      </w:r>
    </w:p>
    <w:p w14:paraId="430D7368">
      <w:pPr>
        <w:rPr>
          <w:color w:val="auto"/>
        </w:rPr>
      </w:pPr>
      <w:r>
        <w:rPr>
          <w:color w:val="auto"/>
        </w:rPr>
        <w:t>（</w:t>
      </w:r>
      <w:r>
        <w:rPr>
          <w:rFonts w:hint="eastAsia"/>
          <w:color w:val="auto"/>
          <w:lang w:val="en-US" w:eastAsia="zh-CN"/>
        </w:rPr>
        <w:t>六</w:t>
      </w:r>
      <w:r>
        <w:rPr>
          <w:color w:val="auto"/>
        </w:rPr>
        <w:t>）</w:t>
      </w:r>
      <w:r>
        <w:rPr>
          <w:rFonts w:hint="eastAsia"/>
          <w:color w:val="auto"/>
          <w:lang w:val="en-US" w:eastAsia="zh-CN"/>
        </w:rPr>
        <w:t>外部</w:t>
      </w:r>
      <w:r>
        <w:rPr>
          <w:rFonts w:ascii="宋体" w:hAnsi="宋体" w:eastAsia="宋体" w:cs="宋体"/>
          <w:color w:val="auto"/>
          <w:sz w:val="24"/>
          <w:szCs w:val="24"/>
        </w:rPr>
        <w:t>数据接口联通与数据应用功能开发服务</w:t>
      </w:r>
      <w:r>
        <w:rPr>
          <w:color w:val="auto"/>
        </w:rPr>
        <w:t>支撑</w:t>
      </w:r>
    </w:p>
    <w:p w14:paraId="64515393">
      <w:pPr>
        <w:rPr>
          <w:color w:val="auto"/>
        </w:rPr>
      </w:pPr>
      <w:r>
        <w:rPr>
          <w:rFonts w:ascii="宋体" w:hAnsi="宋体" w:eastAsia="宋体" w:cs="宋体"/>
          <w:color w:val="auto"/>
          <w:sz w:val="24"/>
          <w:szCs w:val="24"/>
        </w:rPr>
        <w:t>配合外部智能审查、智能报告生成相关应用落地，完成系统对外数据接口开发、联调及持续运维保障；健全接口异常处置、操作日志留存机制，强化数据交互稳定性，按时限及时处置接口调用、数据传输各类故障。</w:t>
      </w:r>
    </w:p>
    <w:p w14:paraId="1D677822">
      <w:pPr>
        <w:pStyle w:val="3"/>
        <w:numPr>
          <w:ilvl w:val="0"/>
          <w:numId w:val="0"/>
        </w:numPr>
        <w:spacing w:line="360" w:lineRule="auto"/>
        <w:rPr>
          <w:rFonts w:hint="eastAsia" w:asciiTheme="majorEastAsia" w:hAnsiTheme="majorEastAsia" w:eastAsiaTheme="majorEastAsia" w:cstheme="majorEastAsia"/>
          <w:color w:val="auto"/>
          <w:sz w:val="28"/>
          <w:szCs w:val="22"/>
          <w:lang w:val="en-US" w:eastAsia="zh-CN"/>
        </w:rPr>
      </w:pPr>
      <w:r>
        <w:rPr>
          <w:rFonts w:hint="eastAsia" w:asciiTheme="majorEastAsia" w:hAnsiTheme="majorEastAsia" w:eastAsiaTheme="majorEastAsia" w:cstheme="majorEastAsia"/>
          <w:color w:val="auto"/>
          <w:sz w:val="28"/>
          <w:szCs w:val="22"/>
          <w:lang w:val="en-US" w:eastAsia="zh-CN"/>
        </w:rPr>
        <w:t>3.2 前资助表单规范化优化服务</w:t>
      </w:r>
    </w:p>
    <w:p w14:paraId="2BA1012E">
      <w:pPr>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eastAsia="zh-Hans"/>
        </w:rPr>
        <w:t>投标人需统筹开展前资助项目历史存量填报表单规范化梳理、历史信息规整及全平台表单标准化管控工作，统一科技项目表单规范体系，全面保障平台填报信息的完整性、准确性、一致性与可用性。具体工作范围及核心工作内容如下：</w:t>
      </w:r>
    </w:p>
    <w:p w14:paraId="45BFE484">
      <w:pPr>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eastAsia="zh-Hans"/>
        </w:rPr>
        <w:t>（一）历史存量填报表单规范化梳理</w:t>
      </w:r>
    </w:p>
    <w:p w14:paraId="29F8FD6C">
      <w:pPr>
        <w:ind w:firstLine="420"/>
        <w:rPr>
          <w:rFonts w:hint="eastAsia" w:asciiTheme="majorEastAsia" w:hAnsiTheme="majorEastAsia" w:eastAsiaTheme="majorEastAsia" w:cstheme="majorEastAsia"/>
          <w:bCs/>
          <w:color w:val="auto"/>
          <w:lang w:val="en-US" w:eastAsia="zh-Hans"/>
        </w:rPr>
      </w:pPr>
      <w:r>
        <w:rPr>
          <w:rFonts w:hint="eastAsia" w:asciiTheme="majorEastAsia" w:hAnsiTheme="majorEastAsia" w:eastAsiaTheme="majorEastAsia" w:cstheme="majorEastAsia"/>
          <w:bCs/>
          <w:color w:val="auto"/>
          <w:lang w:val="en-US" w:eastAsia="zh-Hans"/>
        </w:rPr>
        <w:t>1</w:t>
      </w:r>
      <w:r>
        <w:rPr>
          <w:rFonts w:hint="eastAsia" w:asciiTheme="majorEastAsia" w:hAnsiTheme="majorEastAsia" w:eastAsiaTheme="majorEastAsia" w:cstheme="majorEastAsia"/>
          <w:bCs/>
          <w:color w:val="auto"/>
          <w:lang w:val="en-US" w:eastAsia="zh-CN"/>
        </w:rPr>
        <w:t>、梳理</w:t>
      </w:r>
      <w:r>
        <w:rPr>
          <w:rFonts w:hint="eastAsia" w:asciiTheme="majorEastAsia" w:hAnsiTheme="majorEastAsia" w:eastAsiaTheme="majorEastAsia" w:cstheme="majorEastAsia"/>
          <w:bCs/>
          <w:color w:val="auto"/>
          <w:lang w:val="en-US" w:eastAsia="zh-Hans"/>
        </w:rPr>
        <w:t>覆盖范围</w:t>
      </w:r>
    </w:p>
    <w:p w14:paraId="21EB60E6">
      <w:pPr>
        <w:ind w:firstLine="420"/>
        <w:rPr>
          <w:rFonts w:hint="eastAsia" w:asciiTheme="majorEastAsia" w:hAnsiTheme="majorEastAsia" w:eastAsiaTheme="majorEastAsia" w:cstheme="majorEastAsia"/>
          <w:bCs/>
          <w:color w:val="auto"/>
          <w:lang w:val="en-US" w:eastAsia="zh-Hans"/>
        </w:rPr>
      </w:pPr>
      <w:r>
        <w:rPr>
          <w:rFonts w:hint="eastAsia" w:asciiTheme="majorEastAsia" w:hAnsiTheme="majorEastAsia" w:eastAsiaTheme="majorEastAsia" w:cstheme="majorEastAsia"/>
          <w:bCs/>
          <w:color w:val="auto"/>
          <w:lang w:val="en-US" w:eastAsia="zh-Hans"/>
        </w:rPr>
        <w:t>针对系统内2021-2026年度前资助项目历史存量填报表单开展全方位</w:t>
      </w:r>
      <w:r>
        <w:rPr>
          <w:rFonts w:hint="eastAsia" w:asciiTheme="majorEastAsia" w:hAnsiTheme="majorEastAsia" w:eastAsiaTheme="majorEastAsia" w:cstheme="majorEastAsia"/>
          <w:bCs/>
          <w:color w:val="auto"/>
          <w:lang w:val="en-US" w:eastAsia="zh-CN"/>
        </w:rPr>
        <w:t>、全链条</w:t>
      </w:r>
      <w:r>
        <w:rPr>
          <w:rFonts w:hint="eastAsia" w:asciiTheme="majorEastAsia" w:hAnsiTheme="majorEastAsia" w:eastAsiaTheme="majorEastAsia" w:cstheme="majorEastAsia"/>
          <w:bCs/>
          <w:color w:val="auto"/>
          <w:lang w:val="en-US" w:eastAsia="zh-Hans"/>
        </w:rPr>
        <w:t>规范化梳理优化工作，覆盖人工智能专项、科技成果转化、重大科技专项、定向项目、</w:t>
      </w:r>
      <w:r>
        <w:rPr>
          <w:rFonts w:hint="eastAsia" w:asciiTheme="majorEastAsia" w:hAnsiTheme="majorEastAsia" w:eastAsiaTheme="majorEastAsia" w:cstheme="majorEastAsia"/>
          <w:bCs/>
          <w:color w:val="auto"/>
          <w:lang w:val="en-US" w:eastAsia="zh-CN"/>
        </w:rPr>
        <w:t>自然科学基金、软科学、</w:t>
      </w:r>
      <w:r>
        <w:rPr>
          <w:rFonts w:hint="eastAsia" w:asciiTheme="majorEastAsia" w:hAnsiTheme="majorEastAsia" w:eastAsiaTheme="majorEastAsia" w:cstheme="majorEastAsia"/>
          <w:bCs/>
          <w:color w:val="auto"/>
          <w:lang w:val="en-US" w:eastAsia="zh-Hans"/>
        </w:rPr>
        <w:t>国际科技合作等全部类型对应的业务表单。</w:t>
      </w:r>
    </w:p>
    <w:p w14:paraId="6846113D">
      <w:pPr>
        <w:ind w:firstLine="420"/>
        <w:rPr>
          <w:rFonts w:hint="eastAsia" w:asciiTheme="majorEastAsia" w:hAnsiTheme="majorEastAsia" w:eastAsiaTheme="majorEastAsia" w:cstheme="majorEastAsia"/>
          <w:bCs/>
          <w:color w:val="auto"/>
          <w:lang w:val="en-US" w:eastAsia="zh-Hans"/>
        </w:rPr>
      </w:pPr>
      <w:r>
        <w:rPr>
          <w:rFonts w:hint="eastAsia" w:asciiTheme="majorEastAsia" w:hAnsiTheme="majorEastAsia" w:eastAsiaTheme="majorEastAsia" w:cstheme="majorEastAsia"/>
          <w:bCs/>
          <w:color w:val="auto"/>
          <w:lang w:val="en-US" w:eastAsia="zh-Hans"/>
        </w:rPr>
        <w:t>2</w:t>
      </w:r>
      <w:r>
        <w:rPr>
          <w:rFonts w:hint="eastAsia" w:asciiTheme="majorEastAsia" w:hAnsiTheme="majorEastAsia" w:eastAsiaTheme="majorEastAsia" w:cstheme="majorEastAsia"/>
          <w:bCs/>
          <w:color w:val="auto"/>
          <w:lang w:val="en-US" w:eastAsia="zh-CN"/>
        </w:rPr>
        <w:t>、梳理</w:t>
      </w:r>
      <w:r>
        <w:rPr>
          <w:rFonts w:hint="eastAsia" w:asciiTheme="majorEastAsia" w:hAnsiTheme="majorEastAsia" w:eastAsiaTheme="majorEastAsia" w:cstheme="majorEastAsia"/>
          <w:bCs/>
          <w:color w:val="auto"/>
          <w:lang w:val="en-US" w:eastAsia="zh-Hans"/>
        </w:rPr>
        <w:t>工作内容</w:t>
      </w:r>
    </w:p>
    <w:p w14:paraId="4443730A">
      <w:pPr>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eastAsia="zh-Hans"/>
        </w:rPr>
        <w:t>（1）历史存量填报表单合规</w:t>
      </w:r>
      <w:r>
        <w:rPr>
          <w:rFonts w:hint="eastAsia" w:asciiTheme="majorEastAsia" w:hAnsiTheme="majorEastAsia" w:eastAsiaTheme="majorEastAsia" w:cstheme="majorEastAsia"/>
          <w:bCs/>
          <w:color w:val="auto"/>
          <w:lang w:eastAsia="zh-CN"/>
        </w:rPr>
        <w:t>性梳理</w:t>
      </w:r>
      <w:r>
        <w:rPr>
          <w:rFonts w:hint="eastAsia" w:asciiTheme="majorEastAsia" w:hAnsiTheme="majorEastAsia" w:eastAsiaTheme="majorEastAsia" w:cstheme="majorEastAsia"/>
          <w:bCs/>
          <w:color w:val="auto"/>
          <w:lang w:eastAsia="zh-Hans"/>
        </w:rPr>
        <w:t>：全面排查梳理各类业务填报表单，对字段缺失、内容乱码、信息重复冗余、业务逻辑冲突、字段空值、格式不规范等批量高频</w:t>
      </w:r>
      <w:r>
        <w:rPr>
          <w:rFonts w:hint="eastAsia" w:asciiTheme="majorEastAsia" w:hAnsiTheme="majorEastAsia" w:eastAsiaTheme="majorEastAsia" w:cstheme="majorEastAsia"/>
          <w:bCs/>
          <w:color w:val="auto"/>
          <w:lang w:eastAsia="zh-CN"/>
        </w:rPr>
        <w:t>逐项整改</w:t>
      </w:r>
      <w:r>
        <w:rPr>
          <w:rFonts w:hint="eastAsia" w:asciiTheme="majorEastAsia" w:hAnsiTheme="majorEastAsia" w:eastAsiaTheme="majorEastAsia" w:cstheme="majorEastAsia"/>
          <w:bCs/>
          <w:color w:val="auto"/>
          <w:lang w:eastAsia="zh-Hans"/>
        </w:rPr>
        <w:t>，统一历史存量填报表单基础规范标准。</w:t>
      </w:r>
    </w:p>
    <w:p w14:paraId="13AC2E5A">
      <w:pPr>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eastAsia="zh-Hans"/>
        </w:rPr>
        <w:t>（2）核心信息补全校正：依托系统现有完整业务档案资料，对可追溯历史项目核心填报信息进行完善修正，重点补齐、校准项目负责人、经费额度、实施阶段、项目状态等关键字段内容，确保核心信息真实精准、贴合实际业务场景。</w:t>
      </w:r>
    </w:p>
    <w:p w14:paraId="144749CF">
      <w:pPr>
        <w:rPr>
          <w:rFonts w:hint="eastAsia" w:asciiTheme="majorEastAsia" w:hAnsiTheme="majorEastAsia" w:eastAsiaTheme="majorEastAsia" w:cstheme="majorEastAsia"/>
          <w:bCs/>
          <w:color w:val="auto"/>
          <w:lang w:eastAsia="zh-CN"/>
        </w:rPr>
      </w:pPr>
      <w:r>
        <w:rPr>
          <w:rFonts w:hint="eastAsia" w:asciiTheme="majorEastAsia" w:hAnsiTheme="majorEastAsia" w:eastAsiaTheme="majorEastAsia" w:cstheme="majorEastAsia"/>
          <w:bCs/>
          <w:color w:val="auto"/>
          <w:lang w:eastAsia="zh-Hans"/>
        </w:rPr>
        <w:t>（3）跨表单信息关联梳理：制定项目统一主键关联规范及匹配规则，完成历史存量填报表单跨表单、跨业务阶段的关联匹配与梳理整合，有效解决信息割裂、内容错位、内容不一致等问题，实现项目全链条填报信息互联互通、精准统一。</w:t>
      </w:r>
    </w:p>
    <w:p w14:paraId="056E1511">
      <w:pPr>
        <w:keepNext w:val="0"/>
        <w:keepLines w:val="0"/>
        <w:widowControl/>
        <w:suppressLineNumbers w:val="0"/>
        <w:jc w:val="left"/>
        <w:rPr>
          <w:rFonts w:hint="eastAsia" w:asciiTheme="majorEastAsia" w:hAnsiTheme="majorEastAsia" w:eastAsiaTheme="majorEastAsia" w:cstheme="majorEastAsia"/>
          <w:bCs/>
          <w:color w:val="auto"/>
          <w:highlight w:val="none"/>
          <w:shd w:val="clear" w:color="auto" w:fill="auto"/>
          <w:lang w:eastAsia="zh-Hans"/>
        </w:rPr>
      </w:pPr>
      <w:r>
        <w:rPr>
          <w:rFonts w:hint="eastAsia" w:asciiTheme="majorEastAsia" w:hAnsiTheme="majorEastAsia" w:eastAsiaTheme="majorEastAsia" w:cstheme="majorEastAsia"/>
          <w:bCs/>
          <w:color w:val="auto"/>
          <w:highlight w:val="none"/>
          <w:shd w:val="clear" w:color="auto" w:fill="auto"/>
          <w:lang w:eastAsia="zh-Hans"/>
        </w:rPr>
        <w:t>（4）</w:t>
      </w:r>
      <w:r>
        <w:rPr>
          <w:rFonts w:hint="eastAsia" w:asciiTheme="majorEastAsia" w:hAnsiTheme="majorEastAsia" w:eastAsiaTheme="majorEastAsia" w:cstheme="majorEastAsia"/>
          <w:bCs/>
          <w:color w:val="auto"/>
          <w:highlight w:val="none"/>
          <w:shd w:val="clear" w:color="auto" w:fill="auto"/>
          <w:lang w:eastAsia="zh-CN"/>
        </w:rPr>
        <w:t>梳理</w:t>
      </w:r>
      <w:r>
        <w:rPr>
          <w:rFonts w:hint="eastAsia" w:asciiTheme="majorEastAsia" w:hAnsiTheme="majorEastAsia" w:eastAsiaTheme="majorEastAsia" w:cstheme="majorEastAsia"/>
          <w:bCs/>
          <w:color w:val="auto"/>
          <w:highlight w:val="none"/>
          <w:shd w:val="clear" w:color="auto" w:fill="auto"/>
          <w:lang w:eastAsia="zh-Hans"/>
        </w:rPr>
        <w:t>成果核验归档：</w:t>
      </w:r>
      <w:r>
        <w:rPr>
          <w:rFonts w:hint="eastAsia" w:asciiTheme="majorEastAsia" w:hAnsiTheme="majorEastAsia" w:eastAsiaTheme="majorEastAsia" w:cstheme="majorEastAsia"/>
          <w:bCs/>
          <w:color w:val="auto"/>
          <w:lang w:eastAsia="zh-CN"/>
        </w:rPr>
        <w:t>对</w:t>
      </w:r>
      <w:r>
        <w:rPr>
          <w:rFonts w:hint="eastAsia" w:asciiTheme="majorEastAsia" w:hAnsiTheme="majorEastAsia" w:eastAsiaTheme="majorEastAsia" w:cstheme="majorEastAsia"/>
          <w:bCs/>
          <w:color w:val="auto"/>
          <w:lang w:eastAsia="zh-Hans"/>
        </w:rPr>
        <w:t>全部历史存量填报表单</w:t>
      </w:r>
      <w:r>
        <w:rPr>
          <w:rFonts w:hint="eastAsia" w:asciiTheme="majorEastAsia" w:hAnsiTheme="majorEastAsia" w:eastAsiaTheme="majorEastAsia" w:cstheme="majorEastAsia"/>
          <w:bCs/>
          <w:color w:val="auto"/>
          <w:lang w:eastAsia="zh-CN"/>
        </w:rPr>
        <w:t>进行</w:t>
      </w:r>
      <w:r>
        <w:rPr>
          <w:rFonts w:hint="eastAsia" w:asciiTheme="majorEastAsia" w:hAnsiTheme="majorEastAsia" w:eastAsiaTheme="majorEastAsia" w:cstheme="majorEastAsia"/>
          <w:bCs/>
          <w:color w:val="auto"/>
          <w:lang w:eastAsia="zh-Hans"/>
        </w:rPr>
        <w:t>规范化梳理</w:t>
      </w:r>
      <w:r>
        <w:rPr>
          <w:rFonts w:hint="eastAsia" w:asciiTheme="majorEastAsia" w:hAnsiTheme="majorEastAsia" w:eastAsiaTheme="majorEastAsia" w:cstheme="majorEastAsia"/>
          <w:bCs/>
          <w:color w:val="auto"/>
          <w:lang w:eastAsia="zh-CN"/>
        </w:rPr>
        <w:t>与</w:t>
      </w:r>
      <w:r>
        <w:rPr>
          <w:rFonts w:hint="eastAsia" w:asciiTheme="majorEastAsia" w:hAnsiTheme="majorEastAsia" w:eastAsiaTheme="majorEastAsia" w:cstheme="majorEastAsia"/>
          <w:bCs/>
          <w:color w:val="auto"/>
          <w:lang w:eastAsia="zh-Hans"/>
        </w:rPr>
        <w:t>优化，</w:t>
      </w:r>
      <w:r>
        <w:rPr>
          <w:rFonts w:hint="eastAsia" w:asciiTheme="majorEastAsia" w:hAnsiTheme="majorEastAsia" w:eastAsiaTheme="majorEastAsia" w:cstheme="majorEastAsia"/>
          <w:bCs/>
          <w:color w:val="auto"/>
          <w:lang w:eastAsia="zh-CN"/>
        </w:rPr>
        <w:t>同步</w:t>
      </w:r>
      <w:r>
        <w:rPr>
          <w:rFonts w:hint="eastAsia" w:asciiTheme="majorEastAsia" w:hAnsiTheme="majorEastAsia" w:eastAsiaTheme="majorEastAsia" w:cstheme="majorEastAsia"/>
          <w:bCs/>
          <w:color w:val="auto"/>
          <w:lang w:eastAsia="zh-Hans"/>
        </w:rPr>
        <w:t>编制前资助项目历史存量填报表单规范化工作报告、填报内容规整前后对比台账</w:t>
      </w:r>
      <w:r>
        <w:rPr>
          <w:rFonts w:hint="eastAsia" w:asciiTheme="majorEastAsia" w:hAnsiTheme="majorEastAsia" w:eastAsiaTheme="majorEastAsia" w:cstheme="majorEastAsia"/>
          <w:bCs/>
          <w:color w:val="auto"/>
          <w:lang w:eastAsia="zh-CN"/>
        </w:rPr>
        <w:t>。所有成果资料须</w:t>
      </w:r>
      <w:r>
        <w:rPr>
          <w:rFonts w:hint="eastAsia" w:asciiTheme="majorEastAsia" w:hAnsiTheme="majorEastAsia" w:eastAsiaTheme="majorEastAsia" w:cstheme="majorEastAsia"/>
          <w:bCs/>
          <w:color w:val="auto"/>
          <w:lang w:eastAsia="zh-Hans"/>
        </w:rPr>
        <w:t>提交采购人</w:t>
      </w:r>
      <w:r>
        <w:rPr>
          <w:rFonts w:hint="eastAsia" w:asciiTheme="majorEastAsia" w:hAnsiTheme="majorEastAsia" w:eastAsiaTheme="majorEastAsia" w:cstheme="majorEastAsia"/>
          <w:bCs/>
          <w:color w:val="auto"/>
          <w:lang w:eastAsia="zh-CN"/>
        </w:rPr>
        <w:t>审核</w:t>
      </w:r>
      <w:r>
        <w:rPr>
          <w:rFonts w:hint="eastAsia" w:asciiTheme="majorEastAsia" w:hAnsiTheme="majorEastAsia" w:eastAsiaTheme="majorEastAsia" w:cstheme="majorEastAsia"/>
          <w:bCs/>
          <w:color w:val="auto"/>
          <w:lang w:eastAsia="zh-Hans"/>
        </w:rPr>
        <w:t>验收，</w:t>
      </w:r>
      <w:r>
        <w:rPr>
          <w:rFonts w:hint="eastAsia" w:asciiTheme="majorEastAsia" w:hAnsiTheme="majorEastAsia" w:eastAsiaTheme="majorEastAsia" w:cstheme="majorEastAsia"/>
          <w:bCs/>
          <w:color w:val="auto"/>
          <w:lang w:eastAsia="zh-CN"/>
        </w:rPr>
        <w:t>验收通过后，</w:t>
      </w:r>
      <w:r>
        <w:rPr>
          <w:rFonts w:hint="eastAsia" w:asciiTheme="majorEastAsia" w:hAnsiTheme="majorEastAsia" w:eastAsiaTheme="majorEastAsia" w:cstheme="majorEastAsia"/>
          <w:bCs/>
          <w:color w:val="auto"/>
          <w:lang w:eastAsia="zh-Hans"/>
        </w:rPr>
        <w:t>全套成果资料归档留存。</w:t>
      </w:r>
    </w:p>
    <w:p w14:paraId="4F5A2AE0">
      <w:pPr>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eastAsia="zh-Hans"/>
        </w:rPr>
        <w:t>（二）全系统表单规范化管控优化</w:t>
      </w:r>
    </w:p>
    <w:p w14:paraId="2958269F">
      <w:pPr>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eastAsia="zh-Hans"/>
        </w:rPr>
        <w:t>围绕前资助项目全流程配套业务表单，实施全维度标准化管控升级，统一表单填报、信息入库、资料管理全流程规范，补齐表单填报合规短板，全面提升平台填报资料的规范性与实用价值，具体工作内容如下：</w:t>
      </w:r>
    </w:p>
    <w:p w14:paraId="514CD9EA">
      <w:pPr>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eastAsia="zh-Hans"/>
        </w:rPr>
        <w:t>1</w:t>
      </w:r>
      <w:r>
        <w:rPr>
          <w:rFonts w:hint="eastAsia" w:asciiTheme="majorEastAsia" w:hAnsiTheme="majorEastAsia" w:eastAsiaTheme="majorEastAsia" w:cstheme="majorEastAsia"/>
          <w:bCs/>
          <w:color w:val="auto"/>
          <w:lang w:eastAsia="zh-CN"/>
        </w:rPr>
        <w:t>、</w:t>
      </w:r>
      <w:r>
        <w:rPr>
          <w:rFonts w:hint="eastAsia" w:asciiTheme="majorEastAsia" w:hAnsiTheme="majorEastAsia" w:eastAsiaTheme="majorEastAsia" w:cstheme="majorEastAsia"/>
          <w:bCs/>
          <w:color w:val="auto"/>
          <w:lang w:eastAsia="zh-Hans"/>
        </w:rPr>
        <w:t>统一表单字段规范标准：对项目申报书、任务书、</w:t>
      </w:r>
      <w:r>
        <w:rPr>
          <w:rFonts w:hint="eastAsia" w:asciiTheme="majorEastAsia" w:hAnsiTheme="majorEastAsia" w:eastAsiaTheme="majorEastAsia" w:cstheme="majorEastAsia"/>
          <w:bCs/>
          <w:color w:val="auto"/>
          <w:lang w:eastAsia="zh-CN"/>
        </w:rPr>
        <w:t>执行情况表</w:t>
      </w:r>
      <w:r>
        <w:rPr>
          <w:rFonts w:hint="eastAsia" w:asciiTheme="majorEastAsia" w:hAnsiTheme="majorEastAsia" w:eastAsiaTheme="majorEastAsia" w:cstheme="majorEastAsia"/>
          <w:bCs/>
          <w:color w:val="auto"/>
          <w:lang w:eastAsia="zh-Hans"/>
        </w:rPr>
        <w:t>、验收材料、变更申请表等各类业务表单开展标准化优化升级，统一同义字段名称、数据格式类型、填报规范要求，明确并固化必填项校验准则，实现全域表单字段规范统一。</w:t>
      </w:r>
    </w:p>
    <w:p w14:paraId="7D1D3126">
      <w:pPr>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eastAsia="zh-Hans"/>
        </w:rPr>
        <w:t>2</w:t>
      </w:r>
      <w:r>
        <w:rPr>
          <w:rFonts w:hint="eastAsia" w:asciiTheme="majorEastAsia" w:hAnsiTheme="majorEastAsia" w:eastAsiaTheme="majorEastAsia" w:cstheme="majorEastAsia"/>
          <w:bCs/>
          <w:color w:val="auto"/>
          <w:lang w:eastAsia="zh-CN"/>
        </w:rPr>
        <w:t>、</w:t>
      </w:r>
      <w:r>
        <w:rPr>
          <w:rFonts w:hint="eastAsia" w:asciiTheme="majorEastAsia" w:hAnsiTheme="majorEastAsia" w:eastAsiaTheme="majorEastAsia" w:cstheme="majorEastAsia"/>
          <w:bCs/>
          <w:color w:val="auto"/>
          <w:lang w:eastAsia="zh-Hans"/>
        </w:rPr>
        <w:t>规范表单填报约束规则：优化平台表单前端智能校验功能，统一规范字段输入长度、数值格式、日期格式、附件上传格式、选项枚举内容等标准，强化前端填报刚性约束，从源头杜绝不规范数据录入问题，提升表单填报准确率与规范性。</w:t>
      </w:r>
    </w:p>
    <w:p w14:paraId="2ECF755B">
      <w:pPr>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eastAsia="zh-Hans"/>
        </w:rPr>
        <w:t>3</w:t>
      </w:r>
      <w:r>
        <w:rPr>
          <w:rFonts w:hint="eastAsia" w:asciiTheme="majorEastAsia" w:hAnsiTheme="majorEastAsia" w:eastAsiaTheme="majorEastAsia" w:cstheme="majorEastAsia"/>
          <w:bCs/>
          <w:color w:val="auto"/>
          <w:lang w:eastAsia="zh-CN"/>
        </w:rPr>
        <w:t>、</w:t>
      </w:r>
      <w:r>
        <w:rPr>
          <w:rFonts w:hint="eastAsia" w:asciiTheme="majorEastAsia" w:hAnsiTheme="majorEastAsia" w:eastAsiaTheme="majorEastAsia" w:cstheme="majorEastAsia"/>
          <w:bCs/>
          <w:color w:val="auto"/>
          <w:lang w:eastAsia="zh-Hans"/>
        </w:rPr>
        <w:t>完善表单信息管理规范：统一各类表单信息入库标准、附件存储及管理规范，保障所有表单填报信息支持精准检索、批量导出，全面适配平台AI智能审查接口对接的各项技术要求，支撑系统智能化、规范化高效运行。</w:t>
      </w:r>
    </w:p>
    <w:p w14:paraId="1765B083">
      <w:pPr>
        <w:rPr>
          <w:rFonts w:hint="default" w:asciiTheme="majorEastAsia" w:hAnsiTheme="majorEastAsia" w:eastAsiaTheme="majorEastAsia" w:cstheme="majorEastAsia"/>
          <w:bCs/>
          <w:color w:val="auto"/>
          <w:lang w:val="en-US" w:eastAsia="zh-CN"/>
        </w:rPr>
      </w:pPr>
      <w:r>
        <w:rPr>
          <w:rFonts w:hint="eastAsia" w:asciiTheme="majorEastAsia" w:hAnsiTheme="majorEastAsia" w:eastAsiaTheme="majorEastAsia" w:cstheme="majorEastAsia"/>
          <w:bCs/>
          <w:color w:val="auto"/>
          <w:lang w:val="en-US" w:eastAsia="zh-CN"/>
        </w:rPr>
        <w:t>4、</w:t>
      </w:r>
      <w:r>
        <w:rPr>
          <w:rFonts w:hint="eastAsia" w:asciiTheme="majorEastAsia" w:hAnsiTheme="majorEastAsia" w:eastAsiaTheme="majorEastAsia" w:cstheme="majorEastAsia"/>
          <w:bCs/>
          <w:color w:val="auto"/>
          <w:lang w:eastAsia="zh-Hans"/>
        </w:rPr>
        <w:t>统一平台通用填报字段与填报规则，梳理各类申报事项共用填报内容，实现同类业务共享统一填报规范</w:t>
      </w:r>
      <w:r>
        <w:rPr>
          <w:rFonts w:hint="eastAsia" w:asciiTheme="majorEastAsia" w:hAnsiTheme="majorEastAsia" w:eastAsiaTheme="majorEastAsia" w:cstheme="majorEastAsia"/>
          <w:bCs/>
          <w:color w:val="auto"/>
          <w:lang w:val="en-US" w:eastAsia="zh-CN"/>
        </w:rPr>
        <w:t>。</w:t>
      </w:r>
    </w:p>
    <w:p w14:paraId="3E6CA7A5">
      <w:pPr>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eastAsia="zh-Hans"/>
        </w:rPr>
        <w:t>（三）表单规范化长效保障机制</w:t>
      </w:r>
    </w:p>
    <w:p w14:paraId="75D8AE73">
      <w:pPr>
        <w:rPr>
          <w:rFonts w:hint="eastAsia" w:asciiTheme="majorEastAsia" w:hAnsiTheme="majorEastAsia" w:eastAsiaTheme="majorEastAsia" w:cstheme="majorEastAsia"/>
          <w:bCs/>
          <w:color w:val="auto"/>
          <w:lang w:eastAsia="zh-Hans"/>
        </w:rPr>
      </w:pPr>
      <w:r>
        <w:rPr>
          <w:rFonts w:hint="eastAsia" w:asciiTheme="majorEastAsia" w:hAnsiTheme="majorEastAsia" w:eastAsiaTheme="majorEastAsia" w:cstheme="majorEastAsia"/>
          <w:bCs/>
          <w:color w:val="auto"/>
          <w:lang w:eastAsia="zh-Hans"/>
        </w:rPr>
        <w:t>历史存量填报表单专项规范化梳理优化工作完成后，建立常态化、长效化表单合规管控机制，</w:t>
      </w:r>
      <w:r>
        <w:rPr>
          <w:rFonts w:hint="eastAsia" w:asciiTheme="majorEastAsia" w:hAnsiTheme="majorEastAsia" w:eastAsiaTheme="majorEastAsia" w:cstheme="majorEastAsia"/>
          <w:bCs/>
          <w:color w:val="auto"/>
          <w:lang w:eastAsia="zh-CN"/>
        </w:rPr>
        <w:t>配置</w:t>
      </w:r>
      <w:r>
        <w:rPr>
          <w:rFonts w:hint="eastAsia" w:asciiTheme="majorEastAsia" w:hAnsiTheme="majorEastAsia" w:eastAsiaTheme="majorEastAsia" w:cstheme="majorEastAsia"/>
          <w:bCs/>
          <w:color w:val="auto"/>
          <w:lang w:eastAsia="zh-Hans"/>
        </w:rPr>
        <w:t>专业驻场运维人员，对平台日常新增业务表单、增量填报信息开展常态化合规校验、规范核查与动态优化，持续稳固全域表单填报质量，保障系统表单填报内容长期规范、精准、有效，支撑前资助项目各项业务高效有序开展。</w:t>
      </w:r>
    </w:p>
    <w:p w14:paraId="5AE24F18">
      <w:pPr>
        <w:pStyle w:val="3"/>
        <w:numPr>
          <w:ilvl w:val="0"/>
          <w:numId w:val="0"/>
        </w:numPr>
        <w:spacing w:line="360" w:lineRule="auto"/>
        <w:rPr>
          <w:rFonts w:hint="eastAsia" w:asciiTheme="majorEastAsia" w:hAnsiTheme="majorEastAsia" w:eastAsiaTheme="majorEastAsia" w:cstheme="majorEastAsia"/>
          <w:color w:val="auto"/>
          <w:sz w:val="28"/>
          <w:szCs w:val="22"/>
          <w:lang w:val="en-US" w:eastAsia="zh-CN"/>
        </w:rPr>
      </w:pPr>
      <w:r>
        <w:rPr>
          <w:rFonts w:hint="eastAsia" w:asciiTheme="majorEastAsia" w:hAnsiTheme="majorEastAsia" w:eastAsiaTheme="majorEastAsia" w:cstheme="majorEastAsia"/>
          <w:color w:val="auto"/>
          <w:sz w:val="28"/>
          <w:szCs w:val="22"/>
          <w:lang w:val="en-US" w:eastAsia="zh-CN"/>
        </w:rPr>
        <w:t>3.3系统安全保障及正常运行维护服务</w:t>
      </w:r>
    </w:p>
    <w:p w14:paraId="542807F0">
      <w:pPr>
        <w:rPr>
          <w:rFonts w:eastAsia="宋体"/>
          <w:color w:val="auto"/>
          <w:highlight w:val="none"/>
        </w:rPr>
      </w:pPr>
      <w:r>
        <w:rPr>
          <w:rFonts w:hint="eastAsia" w:eastAsia="宋体"/>
          <w:color w:val="auto"/>
          <w:highlight w:val="none"/>
        </w:rPr>
        <w:t>提供系统安全保障，对系统正常运行维护，定期备份数据，确保在系统故障或数据丢失时能够快速恢复，建立安全应急响应机制，在发生安全事件时能够迅速采取措施进行处理，建立专业的技术支持团队，提供及时、有效的技术支持和服务。</w:t>
      </w:r>
    </w:p>
    <w:p w14:paraId="72FBB47C">
      <w:pPr>
        <w:rPr>
          <w:rFonts w:eastAsia="宋体"/>
          <w:color w:val="auto"/>
          <w:highlight w:val="none"/>
        </w:rPr>
      </w:pPr>
      <w:r>
        <w:rPr>
          <w:rFonts w:hint="eastAsia" w:eastAsia="宋体"/>
          <w:color w:val="auto"/>
          <w:highlight w:val="none"/>
        </w:rPr>
        <w:t>技术要求如下：</w:t>
      </w:r>
    </w:p>
    <w:p w14:paraId="7707916B">
      <w:pPr>
        <w:rPr>
          <w:rFonts w:hint="eastAsia" w:asciiTheme="majorEastAsia" w:hAnsiTheme="majorEastAsia" w:eastAsiaTheme="majorEastAsia" w:cstheme="majorEastAsia"/>
          <w:bCs/>
          <w:color w:val="auto"/>
          <w:lang w:eastAsia="zh-CN"/>
        </w:rPr>
      </w:pPr>
      <w:r>
        <w:rPr>
          <w:rFonts w:hint="eastAsia" w:asciiTheme="majorEastAsia" w:hAnsiTheme="majorEastAsia" w:eastAsiaTheme="majorEastAsia" w:cstheme="majorEastAsia"/>
          <w:bCs/>
          <w:color w:val="auto"/>
          <w:lang w:val="en-US" w:eastAsia="zh-CN"/>
        </w:rPr>
        <w:t>1、</w:t>
      </w:r>
      <w:r>
        <w:rPr>
          <w:rFonts w:hint="eastAsia" w:asciiTheme="majorEastAsia" w:hAnsiTheme="majorEastAsia" w:eastAsiaTheme="majorEastAsia" w:cstheme="majorEastAsia"/>
          <w:bCs/>
          <w:color w:val="auto"/>
          <w:lang w:eastAsia="zh-CN"/>
        </w:rPr>
        <w:t>持续强化平台安全防护能力，完善数据安全、系统安全防护机制，有效防范云环境下中高等级安全漏洞风险。</w:t>
      </w:r>
    </w:p>
    <w:p w14:paraId="3351E782">
      <w:pPr>
        <w:rPr>
          <w:rFonts w:hint="eastAsia" w:asciiTheme="majorEastAsia" w:hAnsiTheme="majorEastAsia" w:eastAsiaTheme="majorEastAsia" w:cstheme="majorEastAsia"/>
          <w:bCs/>
          <w:color w:val="auto"/>
          <w:lang w:eastAsia="zh-CN"/>
        </w:rPr>
      </w:pPr>
      <w:r>
        <w:rPr>
          <w:rFonts w:hint="eastAsia" w:asciiTheme="majorEastAsia" w:hAnsiTheme="majorEastAsia" w:eastAsiaTheme="majorEastAsia" w:cstheme="majorEastAsia"/>
          <w:bCs/>
          <w:color w:val="auto"/>
          <w:lang w:val="en-US" w:eastAsia="zh-CN"/>
        </w:rPr>
        <w:t>2、</w:t>
      </w:r>
      <w:r>
        <w:rPr>
          <w:rFonts w:hint="eastAsia" w:asciiTheme="majorEastAsia" w:hAnsiTheme="majorEastAsia" w:eastAsiaTheme="majorEastAsia" w:cstheme="majorEastAsia"/>
          <w:bCs/>
          <w:color w:val="auto"/>
          <w:lang w:eastAsia="zh-CN"/>
        </w:rPr>
        <w:t>固化数据备份执行策略，按照系统数据库每日线上备份、每季度外部介质备份的频率要求开展备份，定期对备份数据进行完整性与可用性检查</w:t>
      </w:r>
      <w:r>
        <w:rPr>
          <w:rFonts w:hint="eastAsia" w:asciiTheme="majorEastAsia" w:hAnsiTheme="majorEastAsia" w:eastAsiaTheme="majorEastAsia" w:cstheme="majorEastAsia"/>
          <w:bCs/>
          <w:color w:val="auto"/>
          <w:lang w:val="en-US" w:eastAsia="zh-CN"/>
        </w:rPr>
        <w:t>，</w:t>
      </w:r>
      <w:r>
        <w:rPr>
          <w:rFonts w:hint="eastAsia" w:asciiTheme="majorEastAsia" w:hAnsiTheme="majorEastAsia" w:eastAsiaTheme="majorEastAsia" w:cstheme="majorEastAsia"/>
          <w:bCs/>
          <w:color w:val="auto"/>
          <w:lang w:eastAsia="zh-CN"/>
        </w:rPr>
        <w:t>确保在需要恢复时能够准确无误地使用。</w:t>
      </w:r>
    </w:p>
    <w:p w14:paraId="32E78C1D">
      <w:pPr>
        <w:rPr>
          <w:rFonts w:hint="eastAsia" w:asciiTheme="majorEastAsia" w:hAnsiTheme="majorEastAsia" w:eastAsiaTheme="majorEastAsia" w:cstheme="majorEastAsia"/>
          <w:bCs/>
          <w:color w:val="auto"/>
          <w:lang w:eastAsia="zh-CN"/>
        </w:rPr>
      </w:pPr>
      <w:r>
        <w:rPr>
          <w:rFonts w:hint="eastAsia" w:asciiTheme="majorEastAsia" w:hAnsiTheme="majorEastAsia" w:eastAsiaTheme="majorEastAsia" w:cstheme="majorEastAsia"/>
          <w:bCs/>
          <w:color w:val="auto"/>
          <w:lang w:val="en-US" w:eastAsia="zh-CN"/>
        </w:rPr>
        <w:t>3、</w:t>
      </w:r>
      <w:r>
        <w:rPr>
          <w:rFonts w:hint="eastAsia" w:asciiTheme="majorEastAsia" w:hAnsiTheme="majorEastAsia" w:eastAsiaTheme="majorEastAsia" w:cstheme="majorEastAsia"/>
          <w:bCs/>
          <w:color w:val="auto"/>
          <w:lang w:eastAsia="zh-CN"/>
        </w:rPr>
        <w:t>完善安全事件处置管理，制定安全事件应急响应操作规程，细化安全事件分类分级，针对不同级别事件制定相应响应时限和处理措施。</w:t>
      </w:r>
    </w:p>
    <w:p w14:paraId="2C0389B2">
      <w:pPr>
        <w:rPr>
          <w:rFonts w:hint="eastAsia" w:asciiTheme="majorEastAsia" w:hAnsiTheme="majorEastAsia" w:eastAsiaTheme="majorEastAsia" w:cstheme="majorEastAsia"/>
          <w:bCs/>
          <w:color w:val="auto"/>
          <w:lang w:eastAsia="zh-CN"/>
        </w:rPr>
      </w:pPr>
      <w:r>
        <w:rPr>
          <w:rFonts w:hint="eastAsia" w:asciiTheme="majorEastAsia" w:hAnsiTheme="majorEastAsia" w:eastAsiaTheme="majorEastAsia" w:cstheme="majorEastAsia"/>
          <w:bCs/>
          <w:color w:val="auto"/>
          <w:lang w:val="en-US" w:eastAsia="zh-CN"/>
        </w:rPr>
        <w:t>4、</w:t>
      </w:r>
      <w:r>
        <w:rPr>
          <w:rFonts w:hint="eastAsia" w:asciiTheme="majorEastAsia" w:hAnsiTheme="majorEastAsia" w:eastAsiaTheme="majorEastAsia" w:cstheme="majorEastAsia"/>
          <w:bCs/>
          <w:color w:val="auto"/>
          <w:lang w:eastAsia="zh-CN"/>
        </w:rPr>
        <w:t>建立用户问题跟踪管理机制，对提出的问题统一记录、跟踪、及时反馈，确保问题得到妥善解决。</w:t>
      </w:r>
    </w:p>
    <w:p w14:paraId="18025B87">
      <w:pPr>
        <w:rPr>
          <w:rFonts w:hint="eastAsia" w:asciiTheme="majorEastAsia" w:hAnsiTheme="majorEastAsia" w:eastAsiaTheme="majorEastAsia" w:cstheme="majorEastAsia"/>
          <w:bCs/>
          <w:color w:val="auto"/>
          <w:lang w:eastAsia="zh-CN"/>
        </w:rPr>
      </w:pPr>
      <w:r>
        <w:rPr>
          <w:rFonts w:hint="eastAsia" w:asciiTheme="majorEastAsia" w:hAnsiTheme="majorEastAsia" w:eastAsiaTheme="majorEastAsia" w:cstheme="majorEastAsia"/>
          <w:bCs/>
          <w:color w:val="auto"/>
          <w:lang w:val="en-US" w:eastAsia="zh-CN"/>
        </w:rPr>
        <w:t>5、</w:t>
      </w:r>
      <w:r>
        <w:rPr>
          <w:rFonts w:hint="eastAsia" w:asciiTheme="majorEastAsia" w:hAnsiTheme="majorEastAsia" w:eastAsiaTheme="majorEastAsia" w:cstheme="majorEastAsia"/>
          <w:bCs/>
          <w:color w:val="auto"/>
          <w:lang w:eastAsia="zh-CN"/>
        </w:rPr>
        <w:t>持续提升页面数据处理响应效率、用户操作体验。</w:t>
      </w:r>
    </w:p>
    <w:p w14:paraId="1C64914F">
      <w:pPr>
        <w:rPr>
          <w:rFonts w:hint="eastAsia" w:asciiTheme="majorEastAsia" w:hAnsiTheme="majorEastAsia" w:eastAsiaTheme="majorEastAsia" w:cstheme="majorEastAsia"/>
          <w:bCs/>
          <w:color w:val="auto"/>
          <w:lang w:eastAsia="zh-CN"/>
        </w:rPr>
      </w:pPr>
      <w:r>
        <w:rPr>
          <w:rFonts w:hint="eastAsia" w:asciiTheme="majorEastAsia" w:hAnsiTheme="majorEastAsia" w:eastAsiaTheme="majorEastAsia" w:cstheme="majorEastAsia"/>
          <w:bCs/>
          <w:color w:val="auto"/>
          <w:lang w:val="en-US" w:eastAsia="zh-CN"/>
        </w:rPr>
        <w:t>6、</w:t>
      </w:r>
      <w:r>
        <w:rPr>
          <w:rFonts w:hint="eastAsia" w:asciiTheme="majorEastAsia" w:hAnsiTheme="majorEastAsia" w:eastAsiaTheme="majorEastAsia" w:cstheme="majorEastAsia"/>
          <w:bCs/>
          <w:color w:val="auto"/>
          <w:lang w:eastAsia="zh-Hans"/>
        </w:rPr>
        <w:t>满足日常工作对专家信息、单位信息、项目信息等</w:t>
      </w:r>
      <w:r>
        <w:rPr>
          <w:rFonts w:hint="eastAsia" w:asciiTheme="majorEastAsia" w:hAnsiTheme="majorEastAsia" w:eastAsiaTheme="majorEastAsia" w:cstheme="majorEastAsia"/>
          <w:bCs/>
          <w:color w:val="auto"/>
          <w:lang w:eastAsia="zh-CN"/>
        </w:rPr>
        <w:t>数据库</w:t>
      </w:r>
      <w:r>
        <w:rPr>
          <w:rFonts w:hint="eastAsia" w:asciiTheme="majorEastAsia" w:hAnsiTheme="majorEastAsia" w:eastAsiaTheme="majorEastAsia" w:cstheme="majorEastAsia"/>
          <w:bCs/>
          <w:color w:val="auto"/>
          <w:lang w:eastAsia="zh-Hans"/>
        </w:rPr>
        <w:t>的使用需求，</w:t>
      </w:r>
      <w:r>
        <w:rPr>
          <w:rFonts w:hint="eastAsia" w:asciiTheme="majorEastAsia" w:hAnsiTheme="majorEastAsia" w:eastAsiaTheme="majorEastAsia" w:cstheme="majorEastAsia"/>
          <w:bCs/>
          <w:color w:val="auto"/>
          <w:lang w:eastAsia="zh-CN"/>
        </w:rPr>
        <w:t>保障内外网用户在</w:t>
      </w:r>
      <w:r>
        <w:rPr>
          <w:rFonts w:hint="eastAsia" w:asciiTheme="majorEastAsia" w:hAnsiTheme="majorEastAsia" w:eastAsiaTheme="majorEastAsia" w:cstheme="majorEastAsia"/>
          <w:bCs/>
          <w:color w:val="auto"/>
          <w:lang w:eastAsia="zh-Hans"/>
        </w:rPr>
        <w:t>项目申报、评审、中期检查、验收</w:t>
      </w:r>
      <w:r>
        <w:rPr>
          <w:rFonts w:hint="eastAsia" w:asciiTheme="majorEastAsia" w:hAnsiTheme="majorEastAsia" w:eastAsiaTheme="majorEastAsia" w:cstheme="majorEastAsia"/>
          <w:bCs/>
          <w:color w:val="auto"/>
          <w:lang w:eastAsia="zh-CN"/>
        </w:rPr>
        <w:t>各阶段中的业务</w:t>
      </w:r>
      <w:r>
        <w:rPr>
          <w:rFonts w:hint="eastAsia" w:asciiTheme="majorEastAsia" w:hAnsiTheme="majorEastAsia" w:eastAsiaTheme="majorEastAsia" w:cstheme="majorEastAsia"/>
          <w:bCs/>
          <w:color w:val="auto"/>
          <w:lang w:eastAsia="zh-Hans"/>
        </w:rPr>
        <w:t>使用需要</w:t>
      </w:r>
      <w:r>
        <w:rPr>
          <w:rFonts w:hint="eastAsia" w:asciiTheme="majorEastAsia" w:hAnsiTheme="majorEastAsia" w:eastAsiaTheme="majorEastAsia" w:cstheme="majorEastAsia"/>
          <w:bCs/>
          <w:color w:val="auto"/>
          <w:lang w:eastAsia="zh-CN"/>
        </w:rPr>
        <w:t>。</w:t>
      </w:r>
    </w:p>
    <w:p w14:paraId="6D9832AB">
      <w:pPr>
        <w:rPr>
          <w:rFonts w:hint="eastAsia" w:asciiTheme="majorEastAsia" w:hAnsiTheme="majorEastAsia" w:eastAsiaTheme="majorEastAsia" w:cstheme="majorEastAsia"/>
          <w:bCs/>
          <w:color w:val="auto"/>
          <w:lang w:eastAsia="zh-CN"/>
        </w:rPr>
      </w:pPr>
      <w:r>
        <w:rPr>
          <w:rFonts w:hint="eastAsia" w:asciiTheme="majorEastAsia" w:hAnsiTheme="majorEastAsia" w:eastAsiaTheme="majorEastAsia" w:cstheme="majorEastAsia"/>
          <w:bCs/>
          <w:color w:val="auto"/>
          <w:lang w:val="en-US" w:eastAsia="zh-CN"/>
        </w:rPr>
        <w:t>7、</w:t>
      </w:r>
      <w:r>
        <w:rPr>
          <w:rFonts w:hint="eastAsia" w:asciiTheme="majorEastAsia" w:hAnsiTheme="majorEastAsia" w:eastAsiaTheme="majorEastAsia" w:cstheme="majorEastAsia"/>
          <w:bCs/>
          <w:color w:val="auto"/>
          <w:lang w:eastAsia="zh-CN"/>
        </w:rPr>
        <w:t>持续维护</w:t>
      </w:r>
      <w:r>
        <w:rPr>
          <w:rFonts w:hint="eastAsia" w:asciiTheme="majorEastAsia" w:hAnsiTheme="majorEastAsia" w:eastAsiaTheme="majorEastAsia" w:cstheme="majorEastAsia"/>
          <w:bCs/>
          <w:color w:val="auto"/>
          <w:lang w:eastAsia="zh-Hans"/>
        </w:rPr>
        <w:t>项目申报、</w:t>
      </w:r>
      <w:r>
        <w:rPr>
          <w:rFonts w:hint="eastAsia" w:asciiTheme="majorEastAsia" w:hAnsiTheme="majorEastAsia" w:eastAsiaTheme="majorEastAsia" w:cstheme="majorEastAsia"/>
          <w:bCs/>
          <w:color w:val="auto"/>
          <w:lang w:eastAsia="zh-CN"/>
        </w:rPr>
        <w:t>评审</w:t>
      </w:r>
      <w:r>
        <w:rPr>
          <w:rFonts w:hint="eastAsia" w:asciiTheme="majorEastAsia" w:hAnsiTheme="majorEastAsia" w:eastAsiaTheme="majorEastAsia" w:cstheme="majorEastAsia"/>
          <w:bCs/>
          <w:color w:val="auto"/>
          <w:lang w:eastAsia="zh-Hans"/>
        </w:rPr>
        <w:t>管理、专家遴选、中期检查、验收管理</w:t>
      </w:r>
      <w:r>
        <w:rPr>
          <w:rFonts w:hint="eastAsia" w:asciiTheme="majorEastAsia" w:hAnsiTheme="majorEastAsia" w:eastAsiaTheme="majorEastAsia" w:cstheme="majorEastAsia"/>
          <w:bCs/>
          <w:color w:val="auto"/>
          <w:lang w:eastAsia="zh-CN"/>
        </w:rPr>
        <w:t>等已建系统，</w:t>
      </w:r>
      <w:r>
        <w:rPr>
          <w:rFonts w:hint="eastAsia" w:asciiTheme="majorEastAsia" w:hAnsiTheme="majorEastAsia" w:eastAsiaTheme="majorEastAsia" w:cstheme="majorEastAsia"/>
          <w:bCs/>
          <w:color w:val="auto"/>
          <w:lang w:eastAsia="zh-Hans"/>
        </w:rPr>
        <w:t>专家库、</w:t>
      </w:r>
      <w:r>
        <w:rPr>
          <w:rFonts w:hint="eastAsia" w:asciiTheme="majorEastAsia" w:hAnsiTheme="majorEastAsia" w:eastAsiaTheme="majorEastAsia" w:cstheme="majorEastAsia"/>
          <w:bCs/>
          <w:color w:val="auto"/>
          <w:lang w:eastAsia="zh-CN"/>
        </w:rPr>
        <w:t>单位</w:t>
      </w:r>
      <w:r>
        <w:rPr>
          <w:rFonts w:hint="eastAsia" w:asciiTheme="majorEastAsia" w:hAnsiTheme="majorEastAsia" w:eastAsiaTheme="majorEastAsia" w:cstheme="majorEastAsia"/>
          <w:bCs/>
          <w:color w:val="auto"/>
          <w:lang w:eastAsia="zh-Hans"/>
        </w:rPr>
        <w:t>库、</w:t>
      </w:r>
      <w:r>
        <w:rPr>
          <w:rFonts w:hint="eastAsia" w:asciiTheme="majorEastAsia" w:hAnsiTheme="majorEastAsia" w:eastAsiaTheme="majorEastAsia" w:cstheme="majorEastAsia"/>
          <w:bCs/>
          <w:color w:val="auto"/>
          <w:lang w:eastAsia="zh-CN"/>
        </w:rPr>
        <w:t>项目库</w:t>
      </w:r>
      <w:r>
        <w:rPr>
          <w:rFonts w:hint="eastAsia" w:asciiTheme="majorEastAsia" w:hAnsiTheme="majorEastAsia" w:eastAsiaTheme="majorEastAsia" w:cstheme="majorEastAsia"/>
          <w:bCs/>
          <w:color w:val="auto"/>
          <w:lang w:eastAsia="zh-Hans"/>
        </w:rPr>
        <w:t>、用户库</w:t>
      </w:r>
      <w:r>
        <w:rPr>
          <w:rFonts w:hint="eastAsia" w:asciiTheme="majorEastAsia" w:hAnsiTheme="majorEastAsia" w:eastAsiaTheme="majorEastAsia" w:cstheme="majorEastAsia"/>
          <w:bCs/>
          <w:color w:val="auto"/>
          <w:lang w:eastAsia="zh-CN"/>
        </w:rPr>
        <w:t>等数据库及各类数据接口，确保系统稳定性、数据完整性、数据接口调用的正确性和及时性，保障系统整体运行稳定。</w:t>
      </w:r>
    </w:p>
    <w:p w14:paraId="38643D70">
      <w:pPr>
        <w:pStyle w:val="2"/>
        <w:numPr>
          <w:ilvl w:val="0"/>
          <w:numId w:val="0"/>
        </w:numPr>
        <w:adjustRightInd/>
        <w:snapToGrid/>
        <w:spacing w:line="360" w:lineRule="auto"/>
        <w:rPr>
          <w:rFonts w:hint="eastAsia"/>
          <w:color w:val="auto"/>
          <w:sz w:val="32"/>
          <w:szCs w:val="32"/>
          <w:lang w:eastAsia="zh-Hans"/>
        </w:rPr>
      </w:pPr>
      <w:r>
        <w:rPr>
          <w:rFonts w:hint="eastAsia"/>
          <w:color w:val="auto"/>
          <w:sz w:val="32"/>
          <w:szCs w:val="32"/>
          <w:lang w:eastAsia="zh-Hans"/>
        </w:rPr>
        <w:t>四、驻场运维</w:t>
      </w:r>
    </w:p>
    <w:p w14:paraId="00A9F35E">
      <w:pPr>
        <w:ind w:firstLine="480" w:firstLineChars="200"/>
        <w:rPr>
          <w:rFonts w:ascii="宋体" w:hAnsi="宋体" w:cs="宋体"/>
          <w:color w:val="auto"/>
        </w:rPr>
      </w:pPr>
      <w:r>
        <w:rPr>
          <w:rFonts w:hint="eastAsia" w:ascii="宋体" w:hAnsi="宋体" w:cs="宋体"/>
          <w:color w:val="auto"/>
        </w:rPr>
        <w:t>运维单位提供一人驻场服务，负责系统日常运维。</w:t>
      </w:r>
    </w:p>
    <w:p w14:paraId="06E860C1">
      <w:pPr>
        <w:pStyle w:val="3"/>
        <w:numPr>
          <w:ilvl w:val="0"/>
          <w:numId w:val="0"/>
        </w:numPr>
        <w:spacing w:line="360" w:lineRule="auto"/>
        <w:rPr>
          <w:rFonts w:hint="eastAsia" w:asciiTheme="majorEastAsia" w:hAnsiTheme="majorEastAsia" w:eastAsiaTheme="majorEastAsia" w:cstheme="majorEastAsia"/>
          <w:color w:val="auto"/>
          <w:sz w:val="28"/>
          <w:szCs w:val="22"/>
          <w:lang w:val="en-US" w:eastAsia="zh-CN"/>
        </w:rPr>
      </w:pPr>
      <w:r>
        <w:rPr>
          <w:rFonts w:hint="eastAsia" w:asciiTheme="majorEastAsia" w:hAnsiTheme="majorEastAsia" w:eastAsiaTheme="majorEastAsia" w:cstheme="majorEastAsia"/>
          <w:color w:val="auto"/>
          <w:sz w:val="28"/>
          <w:szCs w:val="22"/>
          <w:lang w:val="en-US" w:eastAsia="zh-CN"/>
        </w:rPr>
        <w:t xml:space="preserve">4.1系统运维服务技术人员要求 </w:t>
      </w:r>
    </w:p>
    <w:p w14:paraId="20A009DE">
      <w:pPr>
        <w:pStyle w:val="3"/>
        <w:numPr>
          <w:ilvl w:val="0"/>
          <w:numId w:val="0"/>
        </w:numPr>
        <w:spacing w:line="360" w:lineRule="auto"/>
        <w:rPr>
          <w:rFonts w:hint="eastAsia" w:asciiTheme="majorEastAsia" w:hAnsiTheme="majorEastAsia" w:eastAsiaTheme="majorEastAsia" w:cstheme="majorEastAsia"/>
          <w:color w:val="auto"/>
          <w:sz w:val="28"/>
          <w:szCs w:val="22"/>
          <w:lang w:val="en-US" w:eastAsia="zh-CN"/>
        </w:rPr>
      </w:pPr>
      <w:r>
        <w:rPr>
          <w:rFonts w:hint="eastAsia" w:asciiTheme="majorEastAsia" w:hAnsiTheme="majorEastAsia" w:eastAsiaTheme="majorEastAsia" w:cstheme="majorEastAsia"/>
          <w:color w:val="auto"/>
          <w:sz w:val="28"/>
          <w:szCs w:val="22"/>
          <w:lang w:val="en-US" w:eastAsia="zh-CN"/>
        </w:rPr>
        <w:t xml:space="preserve">4.1.1运维团队要求 </w:t>
      </w:r>
    </w:p>
    <w:p w14:paraId="5D699737">
      <w:pPr>
        <w:ind w:firstLine="480" w:firstLineChars="200"/>
        <w:rPr>
          <w:rFonts w:ascii="宋体" w:hAnsi="宋体" w:cs="宋体"/>
          <w:color w:val="auto"/>
        </w:rPr>
      </w:pPr>
      <w:r>
        <w:rPr>
          <w:rFonts w:hint="eastAsia" w:ascii="宋体" w:hAnsi="宋体" w:cs="宋体"/>
          <w:color w:val="auto"/>
        </w:rPr>
        <w:t>运维执行团队（不含项目经理）不少于5人，其中含1名驻场系统维护升级服务工程师和不少于4人二线支持组。</w:t>
      </w:r>
    </w:p>
    <w:p w14:paraId="356DF166">
      <w:pPr>
        <w:pStyle w:val="4"/>
        <w:numPr>
          <w:ilvl w:val="0"/>
          <w:numId w:val="0"/>
        </w:numPr>
        <w:spacing w:line="360" w:lineRule="auto"/>
        <w:rPr>
          <w:rFonts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4.1.2系统运维服务团队资质要求</w:t>
      </w:r>
    </w:p>
    <w:p w14:paraId="28738D4D">
      <w:pPr>
        <w:ind w:firstLine="480" w:firstLineChars="200"/>
        <w:rPr>
          <w:rFonts w:ascii="宋体" w:hAnsi="宋体" w:cs="宋体"/>
          <w:color w:val="auto"/>
          <w:highlight w:val="cyan"/>
        </w:rPr>
      </w:pPr>
      <w:r>
        <w:rPr>
          <w:rFonts w:hint="eastAsia" w:ascii="宋体" w:hAnsi="宋体" w:cs="宋体"/>
          <w:color w:val="auto"/>
        </w:rPr>
        <w:t>系统开发运维服务执行团队人员应具备计算机技术、网络安全等专业能力。项目经理不得少于5年工作经验，具有项目管理经验资格证书（PMP证书），技术人员不得少于3年开发工作经验，具有类似项目开发经验，独立参与项目不得少于3个。</w:t>
      </w:r>
    </w:p>
    <w:p w14:paraId="043AE87C">
      <w:pPr>
        <w:pStyle w:val="4"/>
        <w:numPr>
          <w:ilvl w:val="0"/>
          <w:numId w:val="0"/>
        </w:numPr>
        <w:spacing w:line="360" w:lineRule="auto"/>
        <w:rPr>
          <w:rFonts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 xml:space="preserve">4.1.3工作要求 </w:t>
      </w:r>
    </w:p>
    <w:p w14:paraId="7F984905">
      <w:pPr>
        <w:ind w:firstLine="480" w:firstLineChars="200"/>
        <w:rPr>
          <w:rFonts w:ascii="宋体" w:hAnsi="宋体" w:cs="宋体"/>
          <w:color w:val="auto"/>
        </w:rPr>
      </w:pPr>
      <w:r>
        <w:rPr>
          <w:rFonts w:hint="eastAsia" w:ascii="宋体" w:hAnsi="宋体" w:cs="宋体"/>
          <w:color w:val="auto"/>
        </w:rPr>
        <w:t>1、必须指定1名项目经理，对系统优化升级与运行维护服务工作进行紧密跟踪和管理，协调与采购人之间的重大问题，对项目经理的职责应该在项目管理相关部分做充分的规定。</w:t>
      </w:r>
    </w:p>
    <w:p w14:paraId="48DA14C7">
      <w:pPr>
        <w:ind w:firstLine="480" w:firstLineChars="200"/>
        <w:rPr>
          <w:rFonts w:ascii="宋体" w:hAnsi="宋体" w:cs="宋体"/>
          <w:color w:val="auto"/>
        </w:rPr>
      </w:pPr>
      <w:r>
        <w:rPr>
          <w:rFonts w:hint="eastAsia" w:ascii="宋体" w:hAnsi="宋体" w:cs="宋体"/>
          <w:color w:val="auto"/>
        </w:rPr>
        <w:t xml:space="preserve">2、一般情况下，常驻人员的工作由项目经理安排和管理，项目经理对用户指定的管理员负责，同时用户指定的管理员可以安排和监督所有系统优化升级与运行维护服务人员的工作，如有必要采购人完全有权力调整系统优化升级与运行维护服务人员的职责分工以及安排工作。 </w:t>
      </w:r>
    </w:p>
    <w:p w14:paraId="18BE909A">
      <w:pPr>
        <w:ind w:firstLine="480" w:firstLineChars="200"/>
        <w:rPr>
          <w:rFonts w:ascii="宋体" w:hAnsi="宋体" w:cs="宋体"/>
          <w:color w:val="auto"/>
        </w:rPr>
      </w:pPr>
      <w:r>
        <w:rPr>
          <w:rFonts w:hint="eastAsia" w:ascii="宋体" w:hAnsi="宋体" w:cs="宋体"/>
          <w:color w:val="auto"/>
        </w:rPr>
        <w:t xml:space="preserve">3、项目经理具有一定的二线人员调动权，必要时能够直接或通过有关部门经理快速调动二线人员解决问题。 </w:t>
      </w:r>
    </w:p>
    <w:p w14:paraId="30AD5453">
      <w:pPr>
        <w:ind w:firstLine="480" w:firstLineChars="200"/>
        <w:rPr>
          <w:rFonts w:ascii="宋体" w:hAnsi="宋体" w:cs="宋体"/>
          <w:color w:val="auto"/>
        </w:rPr>
      </w:pPr>
      <w:r>
        <w:rPr>
          <w:rFonts w:hint="eastAsia" w:ascii="宋体" w:hAnsi="宋体" w:cs="宋体"/>
          <w:color w:val="auto"/>
        </w:rPr>
        <w:t xml:space="preserve">4、常驻人员必须全部到位，未经采购人书面同意，不得更换系统优化升级与运行维护服务人员；如果系统优化升级与运行维护服务人员存在工作态度、责任心、技术能力、协调能力等方面之一的问题时，用户有权要求成交供应商更换系统优化升级与运行维护服务人员，并且在收到采购人书面通知之日起7个工作日内必须更换，接替人员也必须经过面试、审核同意后才能开始试用，如果有两次以上的试用不合适，要求成交供应商进行整改，以成交供应商名义正式提交整改报告。 </w:t>
      </w:r>
    </w:p>
    <w:p w14:paraId="0885E3C0">
      <w:pPr>
        <w:ind w:firstLine="480" w:firstLineChars="200"/>
        <w:rPr>
          <w:rFonts w:ascii="宋体" w:hAnsi="宋体" w:cs="宋体"/>
          <w:color w:val="auto"/>
        </w:rPr>
      </w:pPr>
      <w:r>
        <w:rPr>
          <w:rFonts w:hint="eastAsia" w:ascii="宋体" w:hAnsi="宋体" w:cs="宋体"/>
          <w:color w:val="auto"/>
        </w:rPr>
        <w:t>5、成交供应商应该为拟派的系统优化升级与运行维护服务人员购买必要的保险，并且声明对于系统优化升级与运行维护服务人员因为工作在采购人引起的各种工伤、安全事件和事故，采购人免于一切责任。</w:t>
      </w:r>
    </w:p>
    <w:p w14:paraId="06095A7D">
      <w:pPr>
        <w:pStyle w:val="3"/>
        <w:numPr>
          <w:ilvl w:val="0"/>
          <w:numId w:val="0"/>
        </w:numPr>
        <w:spacing w:line="360" w:lineRule="auto"/>
        <w:rPr>
          <w:rFonts w:ascii="宋体" w:hAnsi="宋体" w:eastAsia="宋体" w:cs="宋体"/>
          <w:color w:val="auto"/>
          <w:sz w:val="28"/>
          <w:szCs w:val="28"/>
        </w:rPr>
      </w:pPr>
      <w:r>
        <w:rPr>
          <w:rFonts w:hint="eastAsia" w:ascii="宋体" w:hAnsi="宋体" w:eastAsia="宋体" w:cs="宋体"/>
          <w:color w:val="auto"/>
          <w:sz w:val="28"/>
          <w:szCs w:val="28"/>
        </w:rPr>
        <w:t xml:space="preserve">4.2项目资源配备要求 </w:t>
      </w:r>
    </w:p>
    <w:p w14:paraId="7A29B5BF">
      <w:pPr>
        <w:ind w:firstLine="480" w:firstLineChars="200"/>
        <w:rPr>
          <w:rFonts w:ascii="宋体" w:hAnsi="宋体" w:cs="宋体"/>
          <w:color w:val="auto"/>
        </w:rPr>
      </w:pPr>
      <w:r>
        <w:rPr>
          <w:rFonts w:hint="eastAsia" w:ascii="宋体" w:hAnsi="宋体" w:cs="宋体"/>
          <w:color w:val="auto"/>
        </w:rPr>
        <w:t>1、成交供应商应该确保与用户24小时保持联系。</w:t>
      </w:r>
    </w:p>
    <w:p w14:paraId="0CDE25A8">
      <w:pPr>
        <w:ind w:firstLine="480" w:firstLineChars="200"/>
        <w:rPr>
          <w:rFonts w:ascii="宋体" w:hAnsi="宋体" w:cs="宋体"/>
          <w:color w:val="auto"/>
        </w:rPr>
      </w:pPr>
      <w:r>
        <w:rPr>
          <w:rFonts w:hint="eastAsia" w:ascii="宋体" w:hAnsi="宋体" w:cs="宋体"/>
          <w:color w:val="auto"/>
        </w:rPr>
        <w:t>2、成交供应商在常驻的办公场所内，配置必要的设备和工具。</w:t>
      </w:r>
    </w:p>
    <w:p w14:paraId="12957BA0">
      <w:pPr>
        <w:pStyle w:val="3"/>
        <w:numPr>
          <w:ilvl w:val="0"/>
          <w:numId w:val="0"/>
        </w:numPr>
        <w:spacing w:line="360" w:lineRule="auto"/>
        <w:rPr>
          <w:rFonts w:ascii="宋体" w:hAnsi="宋体" w:eastAsia="宋体" w:cs="宋体"/>
          <w:color w:val="auto"/>
          <w:sz w:val="28"/>
          <w:szCs w:val="28"/>
        </w:rPr>
      </w:pPr>
      <w:r>
        <w:rPr>
          <w:rFonts w:hint="eastAsia" w:ascii="宋体" w:hAnsi="宋体" w:eastAsia="宋体" w:cs="宋体"/>
          <w:color w:val="auto"/>
          <w:sz w:val="28"/>
          <w:szCs w:val="28"/>
        </w:rPr>
        <w:t xml:space="preserve">4.3管理要求 </w:t>
      </w:r>
    </w:p>
    <w:p w14:paraId="42E37F42">
      <w:pPr>
        <w:pStyle w:val="4"/>
        <w:numPr>
          <w:ilvl w:val="0"/>
          <w:numId w:val="0"/>
        </w:numPr>
        <w:spacing w:line="360" w:lineRule="auto"/>
        <w:rPr>
          <w:rFonts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 xml:space="preserve">4.3.1其它管理要求 </w:t>
      </w:r>
    </w:p>
    <w:p w14:paraId="54266996">
      <w:pPr>
        <w:ind w:firstLine="480" w:firstLineChars="200"/>
        <w:rPr>
          <w:rFonts w:ascii="宋体" w:hAnsi="宋体" w:cs="宋体"/>
          <w:color w:val="auto"/>
        </w:rPr>
      </w:pPr>
      <w:r>
        <w:rPr>
          <w:rFonts w:hint="eastAsia" w:ascii="宋体" w:hAnsi="宋体" w:cs="宋体"/>
          <w:color w:val="auto"/>
        </w:rPr>
        <w:t xml:space="preserve">1、应建立完善的管理制度、制定工作流程、人员考核制度（月度考核），确定系统优化升级与运行维护服务人员的岗位职责（包括人员的上班时间、休息及备勤时间，上班时间的分配等内容），能够对系统优化升级与运行维护服务人员的工作进行跟踪及质量监督。 </w:t>
      </w:r>
    </w:p>
    <w:p w14:paraId="07F17975">
      <w:pPr>
        <w:ind w:firstLine="480" w:firstLineChars="200"/>
        <w:rPr>
          <w:rFonts w:ascii="宋体" w:hAnsi="宋体" w:cs="宋体"/>
          <w:color w:val="auto"/>
        </w:rPr>
      </w:pPr>
      <w:r>
        <w:rPr>
          <w:rFonts w:hint="eastAsia" w:ascii="宋体" w:hAnsi="宋体" w:cs="宋体"/>
          <w:color w:val="auto"/>
        </w:rPr>
        <w:t>2、驻场人员上下班时间及工作内容需服从采购人安排（项目范围内），不得出现迟到早退现象。</w:t>
      </w:r>
    </w:p>
    <w:p w14:paraId="44A49CEA">
      <w:pPr>
        <w:ind w:firstLine="480" w:firstLineChars="200"/>
        <w:rPr>
          <w:rFonts w:ascii="宋体" w:hAnsi="宋体" w:cs="宋体"/>
          <w:color w:val="auto"/>
        </w:rPr>
      </w:pPr>
      <w:r>
        <w:rPr>
          <w:rFonts w:hint="eastAsia" w:ascii="宋体" w:hAnsi="宋体" w:cs="宋体"/>
          <w:color w:val="auto"/>
        </w:rPr>
        <w:t xml:space="preserve">3、编制系统优化升级与运行维护服务手册，建立完备的系统优化升级与运行维护服务过程文档资料，统一格式、做好分类，最终建成系统优化升级与运行维护服务文档库。 </w:t>
      </w:r>
    </w:p>
    <w:p w14:paraId="7EB9364B">
      <w:pPr>
        <w:ind w:firstLine="480" w:firstLineChars="200"/>
        <w:rPr>
          <w:rFonts w:ascii="宋体" w:hAnsi="宋体" w:cs="宋体"/>
          <w:color w:val="auto"/>
        </w:rPr>
      </w:pPr>
      <w:r>
        <w:rPr>
          <w:rFonts w:hint="eastAsia" w:ascii="宋体" w:hAnsi="宋体" w:cs="宋体"/>
          <w:color w:val="auto"/>
        </w:rPr>
        <w:t xml:space="preserve">4、采购人每月将对成交供应商的服务进行评估，因上班不及时、服务不及时、服务质量不佳或态度不好等原因被投诉，每月累计超过5次或以上，采购人有权终止合同。所造成的经济损失及责任由成交供应商承担。服务质量与运维要求不符，将依情进行处罚。 </w:t>
      </w:r>
    </w:p>
    <w:p w14:paraId="3299925F">
      <w:pPr>
        <w:ind w:firstLine="480" w:firstLineChars="200"/>
        <w:rPr>
          <w:rFonts w:ascii="宋体" w:hAnsi="宋体" w:cs="宋体"/>
          <w:color w:val="auto"/>
        </w:rPr>
      </w:pPr>
      <w:r>
        <w:rPr>
          <w:rFonts w:hint="eastAsia" w:ascii="宋体" w:hAnsi="宋体" w:cs="宋体"/>
          <w:color w:val="auto"/>
        </w:rPr>
        <w:t>5、成交供应商驻场人员变动，需与采购人协商，征得采购人同意才能进行人员变动。</w:t>
      </w:r>
    </w:p>
    <w:p w14:paraId="134A145B">
      <w:pPr>
        <w:pStyle w:val="4"/>
        <w:numPr>
          <w:ilvl w:val="0"/>
          <w:numId w:val="0"/>
        </w:numPr>
        <w:spacing w:line="360" w:lineRule="auto"/>
        <w:rPr>
          <w:rFonts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 xml:space="preserve">4.3.2培训服务 </w:t>
      </w:r>
    </w:p>
    <w:p w14:paraId="7E2F945C">
      <w:pPr>
        <w:ind w:firstLine="480" w:firstLineChars="200"/>
        <w:rPr>
          <w:rFonts w:ascii="宋体" w:hAnsi="宋体" w:cs="宋体"/>
          <w:color w:val="auto"/>
        </w:rPr>
      </w:pPr>
      <w:r>
        <w:rPr>
          <w:rFonts w:hint="eastAsia" w:ascii="宋体" w:hAnsi="宋体" w:cs="宋体"/>
          <w:color w:val="auto"/>
        </w:rPr>
        <w:t>向采购人技术人员提供工作内容的现场培训服务：</w:t>
      </w:r>
    </w:p>
    <w:p w14:paraId="4E75EC76">
      <w:pPr>
        <w:ind w:firstLine="480" w:firstLineChars="200"/>
        <w:rPr>
          <w:rFonts w:ascii="宋体" w:hAnsi="宋体" w:cs="宋体"/>
          <w:color w:val="auto"/>
        </w:rPr>
      </w:pPr>
      <w:r>
        <w:rPr>
          <w:rFonts w:hint="eastAsia" w:ascii="宋体" w:hAnsi="宋体" w:cs="宋体"/>
          <w:color w:val="auto"/>
        </w:rPr>
        <w:t>1、设备的基本日常维护操作；</w:t>
      </w:r>
    </w:p>
    <w:p w14:paraId="50800584">
      <w:pPr>
        <w:ind w:firstLine="480" w:firstLineChars="200"/>
        <w:rPr>
          <w:rFonts w:ascii="宋体" w:hAnsi="宋体" w:cs="宋体"/>
          <w:color w:val="auto"/>
        </w:rPr>
      </w:pPr>
      <w:r>
        <w:rPr>
          <w:rFonts w:hint="eastAsia" w:ascii="宋体" w:hAnsi="宋体" w:cs="宋体"/>
          <w:color w:val="auto"/>
        </w:rPr>
        <w:t>2、设备在故障情况下的应急处理措施；</w:t>
      </w:r>
    </w:p>
    <w:p w14:paraId="16D1B690">
      <w:pPr>
        <w:ind w:firstLine="480" w:firstLineChars="200"/>
        <w:rPr>
          <w:rFonts w:ascii="宋体" w:hAnsi="宋体" w:cs="宋体"/>
          <w:color w:val="auto"/>
        </w:rPr>
      </w:pPr>
      <w:r>
        <w:rPr>
          <w:rFonts w:hint="eastAsia" w:ascii="宋体" w:hAnsi="宋体" w:cs="宋体"/>
          <w:color w:val="auto"/>
        </w:rPr>
        <w:t>3、信息安全培训。</w:t>
      </w:r>
    </w:p>
    <w:p w14:paraId="5F92A2AC">
      <w:pPr>
        <w:pStyle w:val="2"/>
        <w:numPr>
          <w:ilvl w:val="0"/>
          <w:numId w:val="0"/>
        </w:numPr>
        <w:adjustRightInd/>
        <w:snapToGrid/>
        <w:spacing w:line="360" w:lineRule="auto"/>
        <w:rPr>
          <w:rFonts w:hint="eastAsia"/>
          <w:color w:val="auto"/>
          <w:sz w:val="32"/>
          <w:szCs w:val="32"/>
          <w:lang w:eastAsia="zh-Hans"/>
        </w:rPr>
      </w:pPr>
      <w:bookmarkStart w:id="0" w:name="_Toc5550"/>
      <w:r>
        <w:rPr>
          <w:rFonts w:hint="eastAsia"/>
          <w:color w:val="auto"/>
          <w:sz w:val="32"/>
          <w:szCs w:val="32"/>
          <w:lang w:eastAsia="zh-Hans"/>
        </w:rPr>
        <w:t>五、商务要求</w:t>
      </w:r>
      <w:bookmarkEnd w:id="0"/>
    </w:p>
    <w:p w14:paraId="6D84FB8F">
      <w:pPr>
        <w:pStyle w:val="13"/>
        <w:ind w:firstLine="480"/>
        <w:rPr>
          <w:rFonts w:hint="eastAsia" w:ascii="宋体" w:hAnsi="宋体" w:eastAsia="宋体" w:cs="宋体"/>
          <w:color w:val="auto"/>
          <w:lang w:eastAsia="zh-CN"/>
        </w:rPr>
      </w:pPr>
      <w:r>
        <w:rPr>
          <w:rFonts w:hint="eastAsia" w:ascii="宋体" w:hAnsi="宋体" w:eastAsia="宋体" w:cs="宋体"/>
          <w:color w:val="auto"/>
        </w:rPr>
        <w:t>1、服务期：</w:t>
      </w:r>
      <w:r>
        <w:rPr>
          <w:rFonts w:hint="eastAsia" w:ascii="宋体" w:hAnsi="宋体" w:eastAsia="宋体" w:cs="宋体"/>
          <w:color w:val="auto"/>
          <w:lang w:val="en-US" w:eastAsia="zh-CN"/>
        </w:rPr>
        <w:t>12个月</w:t>
      </w:r>
      <w:r>
        <w:rPr>
          <w:rFonts w:hint="eastAsia" w:ascii="宋体" w:hAnsi="宋体" w:eastAsia="宋体" w:cs="宋体"/>
          <w:color w:val="auto"/>
        </w:rPr>
        <w:t>（2026年7月至2027年</w:t>
      </w:r>
      <w:r>
        <w:rPr>
          <w:rFonts w:hint="eastAsia" w:ascii="宋体" w:hAnsi="宋体" w:eastAsia="宋体" w:cs="宋体"/>
          <w:color w:val="auto"/>
          <w:lang w:val="en-US" w:eastAsia="zh-CN"/>
        </w:rPr>
        <w:t>7</w:t>
      </w:r>
      <w:r>
        <w:rPr>
          <w:rFonts w:hint="eastAsia" w:ascii="宋体" w:hAnsi="宋体" w:eastAsia="宋体" w:cs="宋体"/>
          <w:color w:val="auto"/>
        </w:rPr>
        <w:t>月）</w:t>
      </w:r>
      <w:r>
        <w:rPr>
          <w:rFonts w:hint="eastAsia" w:ascii="宋体" w:hAnsi="宋体" w:eastAsia="宋体" w:cs="宋体"/>
          <w:color w:val="auto"/>
          <w:lang w:eastAsia="zh-CN"/>
        </w:rPr>
        <w:t>，</w:t>
      </w:r>
      <w:bookmarkStart w:id="1" w:name="_GoBack"/>
      <w:bookmarkEnd w:id="1"/>
      <w:r>
        <w:rPr>
          <w:rFonts w:hint="eastAsia" w:ascii="宋体" w:hAnsi="宋体" w:eastAsia="宋体" w:cs="宋体"/>
          <w:color w:val="auto"/>
        </w:rPr>
        <w:t>具体履约起止日期以正式签订合同为准</w:t>
      </w:r>
      <w:r>
        <w:rPr>
          <w:rFonts w:hint="eastAsia" w:ascii="宋体" w:hAnsi="宋体" w:eastAsia="宋体" w:cs="宋体"/>
          <w:color w:val="auto"/>
          <w:lang w:eastAsia="zh-CN"/>
        </w:rPr>
        <w:t>。</w:t>
      </w:r>
    </w:p>
    <w:p w14:paraId="2A477902">
      <w:pPr>
        <w:ind w:firstLine="480" w:firstLineChars="200"/>
        <w:rPr>
          <w:rFonts w:ascii="宋体" w:hAnsi="宋体" w:cs="宋体"/>
          <w:color w:val="auto"/>
        </w:rPr>
      </w:pPr>
      <w:r>
        <w:rPr>
          <w:rFonts w:hint="eastAsia" w:ascii="宋体" w:hAnsi="宋体" w:cs="宋体"/>
          <w:color w:val="auto"/>
        </w:rPr>
        <w:t>2、服务地点：采购人指派。</w:t>
      </w:r>
    </w:p>
    <w:p w14:paraId="6C220C88">
      <w:pPr>
        <w:pStyle w:val="13"/>
        <w:ind w:firstLine="480"/>
        <w:rPr>
          <w:rFonts w:ascii="宋体" w:hAnsi="宋体" w:cs="宋体"/>
          <w:bCs/>
          <w:color w:val="auto"/>
          <w:lang w:eastAsia="zh-Hans"/>
        </w:rPr>
      </w:pPr>
      <w:r>
        <w:rPr>
          <w:rFonts w:hint="eastAsia" w:ascii="宋体" w:hAnsi="宋体" w:cs="宋体"/>
          <w:color w:val="auto"/>
        </w:rPr>
        <w:t>3、报价要求：供应商报价应包括优化升级、运维服务、技术支持、人工、税金等为完成本项目的所有费用，如有漏报、错报，其后果由供应商自行承担，采购人不再另行支付任何费用。</w:t>
      </w:r>
    </w:p>
    <w:p w14:paraId="42553EFD">
      <w:pPr>
        <w:rPr>
          <w:color w:val="auto"/>
        </w:rPr>
      </w:pPr>
    </w:p>
    <w:p w14:paraId="12E484C6">
      <w:pPr>
        <w:jc w:val="both"/>
        <w:rPr>
          <w:rFonts w:hint="eastAsia" w:ascii="黑体" w:hAnsi="黑体" w:eastAsia="黑体" w:cs="黑体"/>
          <w:color w:val="auto"/>
          <w:sz w:val="44"/>
          <w:szCs w:val="44"/>
        </w:rPr>
      </w:pP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2E2A0">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B424DD">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BB424DD">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DB013B"/>
    <w:multiLevelType w:val="multilevel"/>
    <w:tmpl w:val="19DB013B"/>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5C46D8"/>
    <w:rsid w:val="0FEB517B"/>
    <w:rsid w:val="166242C9"/>
    <w:rsid w:val="18E23E5D"/>
    <w:rsid w:val="1B7B39B1"/>
    <w:rsid w:val="1EF99D6D"/>
    <w:rsid w:val="1FCC4E68"/>
    <w:rsid w:val="1FDF816D"/>
    <w:rsid w:val="1FFE7602"/>
    <w:rsid w:val="24673FB5"/>
    <w:rsid w:val="2EBFDB6F"/>
    <w:rsid w:val="2FBF9619"/>
    <w:rsid w:val="2FFF9063"/>
    <w:rsid w:val="30797214"/>
    <w:rsid w:val="30BFD953"/>
    <w:rsid w:val="33EBCC39"/>
    <w:rsid w:val="353B0E35"/>
    <w:rsid w:val="35AAE668"/>
    <w:rsid w:val="35BEA4A0"/>
    <w:rsid w:val="36FF36C5"/>
    <w:rsid w:val="379C5805"/>
    <w:rsid w:val="37EA1742"/>
    <w:rsid w:val="3A7F7128"/>
    <w:rsid w:val="3AEB871B"/>
    <w:rsid w:val="3C371BD0"/>
    <w:rsid w:val="3E1E32BB"/>
    <w:rsid w:val="3EBD6024"/>
    <w:rsid w:val="3FEBB9C0"/>
    <w:rsid w:val="3FFE1CA5"/>
    <w:rsid w:val="452B26CF"/>
    <w:rsid w:val="47DF46CA"/>
    <w:rsid w:val="4BCF708B"/>
    <w:rsid w:val="4D582F12"/>
    <w:rsid w:val="4E3FE977"/>
    <w:rsid w:val="4EEDFA0C"/>
    <w:rsid w:val="4F72EC62"/>
    <w:rsid w:val="4FED5BFD"/>
    <w:rsid w:val="4FF374E4"/>
    <w:rsid w:val="4FFF0357"/>
    <w:rsid w:val="555F3AAF"/>
    <w:rsid w:val="55A76452"/>
    <w:rsid w:val="56964970"/>
    <w:rsid w:val="56BB3012"/>
    <w:rsid w:val="5AEF8865"/>
    <w:rsid w:val="5DBC42EF"/>
    <w:rsid w:val="5E1E5D71"/>
    <w:rsid w:val="5EC14A51"/>
    <w:rsid w:val="5EEF5FB0"/>
    <w:rsid w:val="5EFDF758"/>
    <w:rsid w:val="5F3F3D35"/>
    <w:rsid w:val="5F5F31D5"/>
    <w:rsid w:val="5FB3372D"/>
    <w:rsid w:val="5FEA69DC"/>
    <w:rsid w:val="5FF7507F"/>
    <w:rsid w:val="5FFDA829"/>
    <w:rsid w:val="6382B00E"/>
    <w:rsid w:val="65FF3F73"/>
    <w:rsid w:val="66978CE0"/>
    <w:rsid w:val="66DAEA65"/>
    <w:rsid w:val="677EA1BE"/>
    <w:rsid w:val="6A5517CE"/>
    <w:rsid w:val="6A67256F"/>
    <w:rsid w:val="6BCF185A"/>
    <w:rsid w:val="6BD68EAB"/>
    <w:rsid w:val="6CE05FBA"/>
    <w:rsid w:val="6D776147"/>
    <w:rsid w:val="6E7EC51C"/>
    <w:rsid w:val="6F5E2891"/>
    <w:rsid w:val="6F7F4087"/>
    <w:rsid w:val="705C46D8"/>
    <w:rsid w:val="73AF0D0C"/>
    <w:rsid w:val="74FF593F"/>
    <w:rsid w:val="75BFFDB4"/>
    <w:rsid w:val="75DC7614"/>
    <w:rsid w:val="765FF226"/>
    <w:rsid w:val="76F97218"/>
    <w:rsid w:val="77DAA218"/>
    <w:rsid w:val="77F290B4"/>
    <w:rsid w:val="77FB8841"/>
    <w:rsid w:val="79F1FFFE"/>
    <w:rsid w:val="79FF7FA4"/>
    <w:rsid w:val="7AFFBBB7"/>
    <w:rsid w:val="7B739FCA"/>
    <w:rsid w:val="7BD7946B"/>
    <w:rsid w:val="7BE6FBEE"/>
    <w:rsid w:val="7BE81D28"/>
    <w:rsid w:val="7BF4A5B9"/>
    <w:rsid w:val="7BFED4DF"/>
    <w:rsid w:val="7CADAC5B"/>
    <w:rsid w:val="7CFF0EF2"/>
    <w:rsid w:val="7D7BE542"/>
    <w:rsid w:val="7DF94CD3"/>
    <w:rsid w:val="7DFEB1AD"/>
    <w:rsid w:val="7E76AD0D"/>
    <w:rsid w:val="7E7FC0EF"/>
    <w:rsid w:val="7EA6968C"/>
    <w:rsid w:val="7EE55629"/>
    <w:rsid w:val="7EFA830C"/>
    <w:rsid w:val="7EFF42FB"/>
    <w:rsid w:val="7EFF7196"/>
    <w:rsid w:val="7EFFF605"/>
    <w:rsid w:val="7F3DC1D7"/>
    <w:rsid w:val="7F7D349C"/>
    <w:rsid w:val="7F8EEB8D"/>
    <w:rsid w:val="7FDF131B"/>
    <w:rsid w:val="7FECD392"/>
    <w:rsid w:val="7FED242A"/>
    <w:rsid w:val="7FEFB1D9"/>
    <w:rsid w:val="7FEFDF91"/>
    <w:rsid w:val="7FFB7975"/>
    <w:rsid w:val="8BF646CD"/>
    <w:rsid w:val="93F4531C"/>
    <w:rsid w:val="9A4BC05D"/>
    <w:rsid w:val="9DFBB9A7"/>
    <w:rsid w:val="9F72103D"/>
    <w:rsid w:val="ADFF3F63"/>
    <w:rsid w:val="AEFA9A58"/>
    <w:rsid w:val="B5BE3AE2"/>
    <w:rsid w:val="B5DE3677"/>
    <w:rsid w:val="B5FF6CED"/>
    <w:rsid w:val="B767B560"/>
    <w:rsid w:val="B7EF3845"/>
    <w:rsid w:val="BD9FAEF2"/>
    <w:rsid w:val="BE5F7516"/>
    <w:rsid w:val="BE74E48C"/>
    <w:rsid w:val="BE7DE75D"/>
    <w:rsid w:val="BEDF1C93"/>
    <w:rsid w:val="BF2BFDDC"/>
    <w:rsid w:val="BFD52AB0"/>
    <w:rsid w:val="BFF9705D"/>
    <w:rsid w:val="BFFACB48"/>
    <w:rsid w:val="BFFF6EA3"/>
    <w:rsid w:val="C3EEBAC6"/>
    <w:rsid w:val="C7DF1556"/>
    <w:rsid w:val="C9BAF834"/>
    <w:rsid w:val="CDE66DBA"/>
    <w:rsid w:val="D75F3974"/>
    <w:rsid w:val="D7ABFE38"/>
    <w:rsid w:val="D7F4FD58"/>
    <w:rsid w:val="D7F7AF2C"/>
    <w:rsid w:val="D9AEC5CA"/>
    <w:rsid w:val="DAE24EB9"/>
    <w:rsid w:val="DAF95331"/>
    <w:rsid w:val="DB7FE4C5"/>
    <w:rsid w:val="DBBF2D38"/>
    <w:rsid w:val="DCFF8F28"/>
    <w:rsid w:val="DDDF9459"/>
    <w:rsid w:val="DDEDED85"/>
    <w:rsid w:val="DE7FBFCB"/>
    <w:rsid w:val="DEDF41F0"/>
    <w:rsid w:val="DF6A73FA"/>
    <w:rsid w:val="DF6F7800"/>
    <w:rsid w:val="DF7F6CDA"/>
    <w:rsid w:val="DFEF8CDC"/>
    <w:rsid w:val="DFFEC8FB"/>
    <w:rsid w:val="E3BF22B4"/>
    <w:rsid w:val="E5ABCC4E"/>
    <w:rsid w:val="E5FBF8B5"/>
    <w:rsid w:val="E5FF0E22"/>
    <w:rsid w:val="E7ACB05C"/>
    <w:rsid w:val="E7BF989E"/>
    <w:rsid w:val="E7D30222"/>
    <w:rsid w:val="EA6914A8"/>
    <w:rsid w:val="EAF12C2F"/>
    <w:rsid w:val="EBFF6AFD"/>
    <w:rsid w:val="ED6E7F3C"/>
    <w:rsid w:val="EDFAF15B"/>
    <w:rsid w:val="EE1F310B"/>
    <w:rsid w:val="EEDD6DC3"/>
    <w:rsid w:val="EEFE0E2F"/>
    <w:rsid w:val="EF4D06F7"/>
    <w:rsid w:val="EF7F616A"/>
    <w:rsid w:val="EFDBD14E"/>
    <w:rsid w:val="EFFBF954"/>
    <w:rsid w:val="EFFF8F02"/>
    <w:rsid w:val="EFFFD00C"/>
    <w:rsid w:val="F03F913D"/>
    <w:rsid w:val="F3FDC306"/>
    <w:rsid w:val="F57C1EC9"/>
    <w:rsid w:val="F717F48F"/>
    <w:rsid w:val="F73BF45A"/>
    <w:rsid w:val="F7BEF4D9"/>
    <w:rsid w:val="F7FB9FFB"/>
    <w:rsid w:val="F7FE270E"/>
    <w:rsid w:val="F8F7D803"/>
    <w:rsid w:val="F8F81914"/>
    <w:rsid w:val="F93C48A0"/>
    <w:rsid w:val="FAFD2EDC"/>
    <w:rsid w:val="FB3F714B"/>
    <w:rsid w:val="FB59DB02"/>
    <w:rsid w:val="FBBBF821"/>
    <w:rsid w:val="FBD7EB8F"/>
    <w:rsid w:val="FBE0B2D9"/>
    <w:rsid w:val="FBF8CAF2"/>
    <w:rsid w:val="FBFE4686"/>
    <w:rsid w:val="FCAE7A7A"/>
    <w:rsid w:val="FD4FC7CD"/>
    <w:rsid w:val="FD5B70B4"/>
    <w:rsid w:val="FD9D4B80"/>
    <w:rsid w:val="FDBFE209"/>
    <w:rsid w:val="FDCD596D"/>
    <w:rsid w:val="FDD54193"/>
    <w:rsid w:val="FDDFE16C"/>
    <w:rsid w:val="FDFC3904"/>
    <w:rsid w:val="FDFF3948"/>
    <w:rsid w:val="FE27C815"/>
    <w:rsid w:val="FE7FA3EA"/>
    <w:rsid w:val="FEBBFD7D"/>
    <w:rsid w:val="FEC51D58"/>
    <w:rsid w:val="FF2A780E"/>
    <w:rsid w:val="FF678232"/>
    <w:rsid w:val="FF6F90F5"/>
    <w:rsid w:val="FFB7BE98"/>
    <w:rsid w:val="FFBE53A3"/>
    <w:rsid w:val="FFDAEDF2"/>
    <w:rsid w:val="FFDDC237"/>
    <w:rsid w:val="FFE710F3"/>
    <w:rsid w:val="FFEB0D90"/>
    <w:rsid w:val="FFFD8220"/>
    <w:rsid w:val="FFFEAA3D"/>
    <w:rsid w:val="FFFEFA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80" w:firstLineChars="200"/>
      <w:jc w:val="both"/>
    </w:pPr>
    <w:rPr>
      <w:rFonts w:eastAsia="宋体" w:asciiTheme="minorAscii" w:hAnsiTheme="minorAscii" w:cstheme="minorBidi"/>
      <w:kern w:val="2"/>
      <w:sz w:val="24"/>
      <w:szCs w:val="22"/>
      <w:lang w:val="en-US" w:eastAsia="zh-CN" w:bidi="ar-SA"/>
    </w:rPr>
  </w:style>
  <w:style w:type="paragraph" w:styleId="2">
    <w:name w:val="heading 1"/>
    <w:basedOn w:val="1"/>
    <w:next w:val="1"/>
    <w:link w:val="17"/>
    <w:qFormat/>
    <w:uiPriority w:val="0"/>
    <w:pPr>
      <w:keepNext/>
      <w:keepLines/>
      <w:numPr>
        <w:ilvl w:val="0"/>
        <w:numId w:val="1"/>
      </w:numPr>
      <w:spacing w:before="340" w:beforeLines="0" w:beforeAutospacing="0" w:after="330" w:afterLines="0" w:afterAutospacing="0" w:line="576" w:lineRule="auto"/>
      <w:ind w:left="432" w:hanging="432" w:firstLineChars="0"/>
      <w:outlineLvl w:val="0"/>
    </w:pPr>
    <w:rPr>
      <w:rFonts w:asciiTheme="minorAscii" w:hAnsiTheme="minorAscii" w:eastAsiaTheme="minorEastAsia" w:cstheme="minorBidi"/>
      <w:b/>
      <w:kern w:val="44"/>
      <w:sz w:val="44"/>
    </w:rPr>
  </w:style>
  <w:style w:type="paragraph" w:styleId="3">
    <w:name w:val="heading 2"/>
    <w:basedOn w:val="1"/>
    <w:next w:val="1"/>
    <w:semiHidden/>
    <w:unhideWhenUsed/>
    <w:qFormat/>
    <w:uiPriority w:val="0"/>
    <w:pPr>
      <w:keepNext/>
      <w:keepLines/>
      <w:numPr>
        <w:ilvl w:val="1"/>
        <w:numId w:val="1"/>
      </w:numPr>
      <w:spacing w:before="260" w:beforeLines="0" w:beforeAutospacing="0" w:after="260" w:afterLines="0" w:afterAutospacing="0" w:line="413" w:lineRule="auto"/>
      <w:ind w:left="575" w:hanging="575" w:firstLineChars="0"/>
      <w:outlineLvl w:val="1"/>
    </w:pPr>
    <w:rPr>
      <w:rFonts w:ascii="Arial" w:hAnsi="Arial" w:eastAsia="楷体"/>
      <w:b/>
      <w:sz w:val="30"/>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left="720" w:hanging="720" w:firstLineChars="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864" w:hanging="864" w:firstLineChars="0"/>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firstLineChars="0"/>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firstLineChars="0"/>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15">
    <w:name w:val="Default Paragraph Font"/>
    <w:semiHidden/>
    <w:unhideWhenUsed/>
    <w:qFormat/>
    <w:uiPriority w:val="1"/>
  </w:style>
  <w:style w:type="table" w:default="1" w:styleId="14">
    <w:name w:val="Normal Table"/>
    <w:semiHidden/>
    <w:qFormat/>
    <w:uiPriority w:val="0"/>
    <w:tblPr>
      <w:tblCellMar>
        <w:top w:w="0" w:type="dxa"/>
        <w:left w:w="108" w:type="dxa"/>
        <w:bottom w:w="0" w:type="dxa"/>
        <w:right w:w="108" w:type="dxa"/>
      </w:tblCellMar>
    </w:tblPr>
  </w:style>
  <w:style w:type="paragraph" w:styleId="11">
    <w:name w:val="footer"/>
    <w:basedOn w:val="1"/>
    <w:uiPriority w:val="0"/>
    <w:pPr>
      <w:tabs>
        <w:tab w:val="center" w:pos="4153"/>
        <w:tab w:val="right" w:pos="8306"/>
      </w:tabs>
      <w:snapToGrid w:val="0"/>
      <w:jc w:val="left"/>
    </w:pPr>
    <w:rPr>
      <w:sz w:val="18"/>
    </w:rPr>
  </w:style>
  <w:style w:type="paragraph" w:styleId="1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unhideWhenUsed/>
    <w:qFormat/>
    <w:uiPriority w:val="39"/>
    <w:pPr>
      <w:ind w:firstLine="420" w:firstLineChars="200"/>
    </w:pPr>
    <w:rPr>
      <w:color w:val="FF0000"/>
    </w:rPr>
  </w:style>
  <w:style w:type="character" w:styleId="16">
    <w:name w:val="Strong"/>
    <w:basedOn w:val="15"/>
    <w:qFormat/>
    <w:uiPriority w:val="0"/>
    <w:rPr>
      <w:b/>
    </w:rPr>
  </w:style>
  <w:style w:type="character" w:customStyle="1" w:styleId="17">
    <w:name w:val="标题 1 字符"/>
    <w:basedOn w:val="15"/>
    <w:link w:val="2"/>
    <w:qFormat/>
    <w:uiPriority w:val="9"/>
    <w:rPr>
      <w:rFonts w:asciiTheme="minorAscii" w:hAnsiTheme="minorAscii" w:eastAsiaTheme="minorEastAsia" w:cstheme="minorBidi"/>
      <w:b/>
      <w:bCs/>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5951</Words>
  <Characters>6049</Characters>
  <Lines>0</Lines>
  <Paragraphs>0</Paragraphs>
  <TotalTime>27</TotalTime>
  <ScaleCrop>false</ScaleCrop>
  <LinksUpToDate>false</LinksUpToDate>
  <CharactersWithSpaces>6101</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2026-06-19T00:17:00Z</dcterms:created>
  <dc:creator>Infinite</dc:creator>
  <cp:lastModifiedBy>user</cp:lastModifiedBy>
  <cp:lastPrinted>2026-06-25T19:53:00Z</cp:lastPrinted>
  <dcterms:modified xsi:type="dcterms:W3CDTF">2026-06-25T16:17:08Z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E7CEFE44D33B4B454CE33C6A273D824A_43</vt:lpwstr>
  </property>
  <property fmtid="{D5CDD505-2E9C-101B-9397-08002B2CF9AE}" pid="4" name="KSOTemplateDocerSaveRecord">
    <vt:lpwstr>eyJoZGlkIjoiOTE1NjAyYjg1Mzc2YWJiZTcxMmE4ZjVlYzY0OTZkMTMiLCJ1c2VySWQiOiI0ODM5NTE4ODQifQ==</vt:lpwstr>
  </property>
</Properties>
</file>