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59EF53">
      <w:pPr>
        <w:keepNext w:val="0"/>
        <w:keepLines w:val="0"/>
        <w:pageBreakBefore w:val="0"/>
        <w:kinsoku/>
        <w:wordWrap/>
        <w:overflowPunct/>
        <w:topLinePunct w:val="0"/>
        <w:autoSpaceDE/>
        <w:autoSpaceDN/>
        <w:bidi w:val="0"/>
        <w:adjustRightInd/>
        <w:spacing w:line="360" w:lineRule="auto"/>
        <w:jc w:val="center"/>
        <w:textAlignment w:val="auto"/>
        <w:rPr>
          <w:rFonts w:hint="eastAsia"/>
          <w:sz w:val="44"/>
          <w:szCs w:val="44"/>
          <w:highlight w:val="none"/>
          <w:lang w:val="en-US" w:eastAsia="zh-CN"/>
        </w:rPr>
      </w:pPr>
      <w:r>
        <w:rPr>
          <w:rFonts w:hint="eastAsia"/>
          <w:sz w:val="44"/>
          <w:szCs w:val="44"/>
          <w:highlight w:val="none"/>
          <w:lang w:val="en-US" w:eastAsia="zh-CN"/>
        </w:rPr>
        <w:t>临床教学管理与培训学习一体化平台</w:t>
      </w:r>
    </w:p>
    <w:p w14:paraId="6AE029C7">
      <w:pPr>
        <w:keepNext w:val="0"/>
        <w:keepLines w:val="0"/>
        <w:pageBreakBefore w:val="0"/>
        <w:kinsoku/>
        <w:wordWrap/>
        <w:overflowPunct/>
        <w:topLinePunct w:val="0"/>
        <w:autoSpaceDE/>
        <w:autoSpaceDN/>
        <w:bidi w:val="0"/>
        <w:adjustRightInd/>
        <w:spacing w:line="360" w:lineRule="auto"/>
        <w:jc w:val="center"/>
        <w:textAlignment w:val="auto"/>
        <w:rPr>
          <w:rFonts w:hint="default" w:eastAsia="宋体"/>
          <w:sz w:val="44"/>
          <w:szCs w:val="44"/>
          <w:highlight w:val="none"/>
          <w:lang w:val="en-US" w:eastAsia="zh-CN"/>
        </w:rPr>
      </w:pPr>
      <w:r>
        <w:rPr>
          <w:rFonts w:hint="eastAsia"/>
          <w:sz w:val="44"/>
          <w:szCs w:val="44"/>
          <w:highlight w:val="none"/>
          <w:lang w:val="en-US" w:eastAsia="zh-CN"/>
        </w:rPr>
        <w:t>运营服务项目</w:t>
      </w:r>
    </w:p>
    <w:p w14:paraId="0374B158">
      <w:pPr>
        <w:pStyle w:val="12"/>
        <w:keepNext w:val="0"/>
        <w:keepLines w:val="0"/>
        <w:pageBreakBefore w:val="0"/>
        <w:kinsoku/>
        <w:wordWrap/>
        <w:overflowPunct/>
        <w:topLinePunct w:val="0"/>
        <w:autoSpaceDE/>
        <w:autoSpaceDN/>
        <w:bidi w:val="0"/>
        <w:adjustRightInd/>
        <w:spacing w:line="360" w:lineRule="auto"/>
        <w:ind w:firstLine="0" w:firstLineChars="0"/>
        <w:textAlignment w:val="auto"/>
        <w:rPr>
          <w:rFonts w:ascii="仿宋" w:hAnsi="仿宋" w:eastAsia="仿宋" w:cs="Arial"/>
          <w:b/>
          <w:szCs w:val="24"/>
          <w:highlight w:val="none"/>
        </w:rPr>
      </w:pPr>
      <w:bookmarkStart w:id="0" w:name="_Toc61945833"/>
    </w:p>
    <w:p w14:paraId="272D2E7E">
      <w:pPr>
        <w:pStyle w:val="3"/>
        <w:keepNext w:val="0"/>
        <w:keepLines w:val="0"/>
        <w:pageBreakBefore w:val="0"/>
        <w:numPr>
          <w:ilvl w:val="0"/>
          <w:numId w:val="1"/>
        </w:numPr>
        <w:tabs>
          <w:tab w:val="left" w:pos="360"/>
        </w:tabs>
        <w:kinsoku/>
        <w:wordWrap/>
        <w:overflowPunct/>
        <w:topLinePunct w:val="0"/>
        <w:autoSpaceDE/>
        <w:autoSpaceDN/>
        <w:bidi w:val="0"/>
        <w:adjustRightInd/>
        <w:spacing w:before="0" w:after="0" w:line="360" w:lineRule="auto"/>
        <w:ind w:left="616" w:hanging="616"/>
        <w:jc w:val="left"/>
        <w:textAlignment w:val="auto"/>
        <w:rPr>
          <w:rFonts w:ascii="仿宋" w:hAnsi="仿宋" w:eastAsia="仿宋" w:cs="Times New Roman"/>
          <w:bCs w:val="0"/>
          <w:color w:val="auto"/>
          <w:highlight w:val="none"/>
          <w:lang w:val="zh-CN"/>
        </w:rPr>
      </w:pPr>
      <w:bookmarkStart w:id="1" w:name="_Toc48289582"/>
      <w:r>
        <w:rPr>
          <w:rFonts w:hint="eastAsia" w:ascii="仿宋" w:hAnsi="仿宋" w:eastAsia="仿宋" w:cs="Times New Roman"/>
          <w:bCs w:val="0"/>
          <w:color w:val="auto"/>
          <w:highlight w:val="none"/>
          <w:lang w:val="zh-CN"/>
        </w:rPr>
        <w:t>采购内容</w:t>
      </w:r>
      <w:bookmarkEnd w:id="1"/>
    </w:p>
    <w:tbl>
      <w:tblPr>
        <w:tblStyle w:val="9"/>
        <w:tblW w:w="4997" w:type="pct"/>
        <w:tblInd w:w="0" w:type="dxa"/>
        <w:tblLayout w:type="autofit"/>
        <w:tblCellMar>
          <w:top w:w="0" w:type="dxa"/>
          <w:left w:w="108" w:type="dxa"/>
          <w:bottom w:w="0" w:type="dxa"/>
          <w:right w:w="108" w:type="dxa"/>
        </w:tblCellMar>
      </w:tblPr>
      <w:tblGrid>
        <w:gridCol w:w="920"/>
        <w:gridCol w:w="1155"/>
        <w:gridCol w:w="741"/>
        <w:gridCol w:w="608"/>
        <w:gridCol w:w="2259"/>
        <w:gridCol w:w="2834"/>
      </w:tblGrid>
      <w:tr w14:paraId="7C021B22">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shd w:val="clear" w:color="auto" w:fill="DDD9C3"/>
            <w:vAlign w:val="center"/>
          </w:tcPr>
          <w:p w14:paraId="4959A6EC">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rPr>
              <w:t>序号</w:t>
            </w:r>
          </w:p>
        </w:tc>
        <w:tc>
          <w:tcPr>
            <w:tcW w:w="678" w:type="pct"/>
            <w:tcBorders>
              <w:top w:val="single" w:color="auto" w:sz="4" w:space="0"/>
              <w:left w:val="nil"/>
              <w:bottom w:val="single" w:color="auto" w:sz="4" w:space="0"/>
              <w:right w:val="single" w:color="auto" w:sz="4" w:space="0"/>
            </w:tcBorders>
            <w:shd w:val="clear" w:color="auto" w:fill="DDD9C3"/>
            <w:vAlign w:val="center"/>
          </w:tcPr>
          <w:p w14:paraId="4A842CA8">
            <w:pPr>
              <w:keepNext w:val="0"/>
              <w:keepLines w:val="0"/>
              <w:pageBreakBefore w:val="0"/>
              <w:kinsoku/>
              <w:wordWrap/>
              <w:overflowPunct/>
              <w:topLinePunct w:val="0"/>
              <w:autoSpaceDE/>
              <w:autoSpaceDN/>
              <w:bidi w:val="0"/>
              <w:adjustRightInd/>
              <w:spacing w:line="360" w:lineRule="auto"/>
              <w:jc w:val="center"/>
              <w:textAlignment w:val="auto"/>
              <w:rPr>
                <w:rFonts w:ascii="仿宋" w:hAnsi="仿宋" w:eastAsia="仿宋"/>
                <w:highlight w:val="none"/>
              </w:rPr>
            </w:pPr>
            <w:r>
              <w:rPr>
                <w:rFonts w:hint="eastAsia" w:ascii="仿宋" w:hAnsi="仿宋" w:eastAsia="仿宋"/>
                <w:highlight w:val="none"/>
              </w:rPr>
              <w:t>名称</w:t>
            </w:r>
          </w:p>
        </w:tc>
        <w:tc>
          <w:tcPr>
            <w:tcW w:w="435" w:type="pct"/>
            <w:tcBorders>
              <w:top w:val="single" w:color="auto" w:sz="4" w:space="0"/>
              <w:left w:val="nil"/>
              <w:bottom w:val="single" w:color="auto" w:sz="4" w:space="0"/>
              <w:right w:val="single" w:color="auto" w:sz="4" w:space="0"/>
            </w:tcBorders>
            <w:shd w:val="clear" w:color="auto" w:fill="DDD9C3"/>
            <w:vAlign w:val="center"/>
          </w:tcPr>
          <w:p w14:paraId="18A7A619">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rPr>
              <w:t>数量</w:t>
            </w:r>
          </w:p>
        </w:tc>
        <w:tc>
          <w:tcPr>
            <w:tcW w:w="356" w:type="pct"/>
            <w:tcBorders>
              <w:top w:val="single" w:color="auto" w:sz="4" w:space="0"/>
              <w:left w:val="nil"/>
              <w:bottom w:val="single" w:color="auto" w:sz="4" w:space="0"/>
              <w:right w:val="single" w:color="auto" w:sz="4" w:space="0"/>
            </w:tcBorders>
            <w:shd w:val="clear" w:color="auto" w:fill="DDD9C3"/>
            <w:vAlign w:val="center"/>
          </w:tcPr>
          <w:p w14:paraId="753FA0F9">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rPr>
              <w:t>单位</w:t>
            </w:r>
          </w:p>
        </w:tc>
        <w:tc>
          <w:tcPr>
            <w:tcW w:w="1326" w:type="pct"/>
            <w:tcBorders>
              <w:top w:val="single" w:color="auto" w:sz="4" w:space="0"/>
              <w:left w:val="nil"/>
              <w:bottom w:val="single" w:color="auto" w:sz="4" w:space="0"/>
              <w:right w:val="single" w:color="auto" w:sz="4" w:space="0"/>
            </w:tcBorders>
            <w:shd w:val="clear" w:color="auto" w:fill="DDD9C3"/>
            <w:vAlign w:val="center"/>
          </w:tcPr>
          <w:p w14:paraId="5253417A">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eastAsia" w:ascii="仿宋" w:hAnsi="仿宋" w:eastAsia="仿宋"/>
                <w:highlight w:val="none"/>
                <w:lang w:val="en-US" w:eastAsia="zh-CN"/>
              </w:rPr>
            </w:pPr>
            <w:r>
              <w:rPr>
                <w:rFonts w:hint="eastAsia" w:ascii="仿宋" w:hAnsi="仿宋" w:eastAsia="仿宋"/>
                <w:highlight w:val="none"/>
                <w:lang w:val="en-US" w:eastAsia="zh-CN"/>
              </w:rPr>
              <w:t>预算</w:t>
            </w:r>
          </w:p>
        </w:tc>
        <w:tc>
          <w:tcPr>
            <w:tcW w:w="1663" w:type="pct"/>
            <w:tcBorders>
              <w:top w:val="single" w:color="auto" w:sz="4" w:space="0"/>
              <w:left w:val="nil"/>
              <w:bottom w:val="single" w:color="auto" w:sz="4" w:space="0"/>
              <w:right w:val="single" w:color="auto" w:sz="4" w:space="0"/>
            </w:tcBorders>
            <w:shd w:val="clear" w:color="auto" w:fill="DDD9C3"/>
            <w:vAlign w:val="center"/>
          </w:tcPr>
          <w:p w14:paraId="669EEF55">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rPr>
              <w:t>要求/备注</w:t>
            </w:r>
          </w:p>
        </w:tc>
      </w:tr>
      <w:tr w14:paraId="196655DB">
        <w:tblPrEx>
          <w:tblCellMar>
            <w:top w:w="0" w:type="dxa"/>
            <w:left w:w="108" w:type="dxa"/>
            <w:bottom w:w="0" w:type="dxa"/>
            <w:right w:w="108" w:type="dxa"/>
          </w:tblCellMar>
        </w:tblPrEx>
        <w:trPr>
          <w:trHeight w:val="687" w:hRule="atLeast"/>
        </w:trPr>
        <w:tc>
          <w:tcPr>
            <w:tcW w:w="540" w:type="pct"/>
            <w:tcBorders>
              <w:top w:val="nil"/>
              <w:left w:val="single" w:color="auto" w:sz="4" w:space="0"/>
              <w:bottom w:val="single" w:color="auto" w:sz="4" w:space="0"/>
              <w:right w:val="single" w:color="auto" w:sz="4" w:space="0"/>
            </w:tcBorders>
            <w:shd w:val="clear" w:color="auto" w:fill="auto"/>
            <w:vAlign w:val="center"/>
          </w:tcPr>
          <w:p w14:paraId="434F058A">
            <w:pPr>
              <w:pStyle w:val="13"/>
              <w:keepNext w:val="0"/>
              <w:keepLines w:val="0"/>
              <w:pageBreakBefore w:val="0"/>
              <w:widowControl w:val="0"/>
              <w:numPr>
                <w:ilvl w:val="0"/>
                <w:numId w:val="2"/>
              </w:numPr>
              <w:tabs>
                <w:tab w:val="left" w:pos="33"/>
              </w:tabs>
              <w:kinsoku/>
              <w:wordWrap/>
              <w:overflowPunct/>
              <w:topLinePunct w:val="0"/>
              <w:autoSpaceDE/>
              <w:autoSpaceDN/>
              <w:bidi w:val="0"/>
              <w:adjustRightInd/>
              <w:spacing w:line="360" w:lineRule="auto"/>
              <w:ind w:left="-93" w:right="-48" w:rightChars="-23" w:hanging="3"/>
              <w:contextualSpacing w:val="0"/>
              <w:jc w:val="center"/>
              <w:textAlignment w:val="auto"/>
              <w:rPr>
                <w:rFonts w:ascii="仿宋" w:hAnsi="仿宋" w:eastAsia="仿宋"/>
                <w:highlight w:val="none"/>
              </w:rPr>
            </w:pPr>
          </w:p>
        </w:tc>
        <w:tc>
          <w:tcPr>
            <w:tcW w:w="678" w:type="pct"/>
            <w:tcBorders>
              <w:top w:val="nil"/>
              <w:left w:val="single" w:color="auto" w:sz="4" w:space="0"/>
              <w:bottom w:val="single" w:color="auto" w:sz="4" w:space="0"/>
              <w:right w:val="single" w:color="auto" w:sz="4" w:space="0"/>
            </w:tcBorders>
            <w:shd w:val="clear" w:color="auto" w:fill="auto"/>
            <w:vAlign w:val="center"/>
          </w:tcPr>
          <w:p w14:paraId="7026EDE9">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b/>
                <w:bCs/>
                <w:highlight w:val="none"/>
              </w:rPr>
            </w:pPr>
            <w:r>
              <w:rPr>
                <w:rFonts w:hint="eastAsia" w:ascii="仿宋" w:hAnsi="仿宋" w:eastAsia="仿宋"/>
                <w:b/>
                <w:bCs/>
                <w:highlight w:val="none"/>
                <w:lang w:val="en-US" w:eastAsia="zh-CN"/>
              </w:rPr>
              <w:t>临床教学管理与培训学习一体化平台</w:t>
            </w:r>
          </w:p>
        </w:tc>
        <w:tc>
          <w:tcPr>
            <w:tcW w:w="435" w:type="pct"/>
            <w:tcBorders>
              <w:top w:val="nil"/>
              <w:left w:val="single" w:color="auto" w:sz="4" w:space="0"/>
              <w:bottom w:val="single" w:color="auto" w:sz="4" w:space="0"/>
              <w:right w:val="single" w:color="auto" w:sz="4" w:space="0"/>
            </w:tcBorders>
            <w:shd w:val="clear" w:color="auto" w:fill="auto"/>
            <w:vAlign w:val="center"/>
          </w:tcPr>
          <w:p w14:paraId="0777D199">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eastAsia" w:ascii="仿宋" w:hAnsi="仿宋" w:eastAsia="仿宋"/>
                <w:b/>
                <w:bCs/>
                <w:highlight w:val="none"/>
                <w:lang w:val="en-US" w:eastAsia="zh-CN"/>
              </w:rPr>
            </w:pPr>
            <w:r>
              <w:rPr>
                <w:rFonts w:hint="eastAsia" w:ascii="仿宋" w:hAnsi="仿宋" w:eastAsia="仿宋"/>
                <w:b/>
                <w:bCs/>
                <w:highlight w:val="none"/>
                <w:lang w:val="en-US" w:eastAsia="zh-CN"/>
              </w:rPr>
              <w:t>1</w:t>
            </w:r>
          </w:p>
        </w:tc>
        <w:tc>
          <w:tcPr>
            <w:tcW w:w="356" w:type="pct"/>
            <w:tcBorders>
              <w:top w:val="nil"/>
              <w:left w:val="single" w:color="auto" w:sz="4" w:space="0"/>
              <w:bottom w:val="single" w:color="auto" w:sz="4" w:space="0"/>
              <w:right w:val="single" w:color="auto" w:sz="4" w:space="0"/>
            </w:tcBorders>
            <w:shd w:val="clear" w:color="auto" w:fill="auto"/>
            <w:vAlign w:val="center"/>
          </w:tcPr>
          <w:p w14:paraId="38F97F43">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eastAsia" w:ascii="仿宋" w:hAnsi="仿宋" w:eastAsia="仿宋"/>
                <w:b/>
                <w:bCs/>
                <w:highlight w:val="none"/>
                <w:lang w:val="en-US" w:eastAsia="zh-CN"/>
              </w:rPr>
            </w:pPr>
            <w:r>
              <w:rPr>
                <w:rFonts w:hint="eastAsia" w:ascii="仿宋" w:hAnsi="仿宋" w:eastAsia="仿宋"/>
                <w:b/>
                <w:bCs/>
                <w:highlight w:val="none"/>
                <w:lang w:val="en-US" w:eastAsia="zh-CN"/>
              </w:rPr>
              <w:t>套</w:t>
            </w:r>
          </w:p>
        </w:tc>
        <w:tc>
          <w:tcPr>
            <w:tcW w:w="1326" w:type="pct"/>
            <w:tcBorders>
              <w:top w:val="nil"/>
              <w:left w:val="single" w:color="auto" w:sz="4" w:space="0"/>
              <w:bottom w:val="single" w:color="auto" w:sz="4" w:space="0"/>
              <w:right w:val="single" w:color="auto" w:sz="4" w:space="0"/>
            </w:tcBorders>
            <w:shd w:val="clear" w:color="auto" w:fill="auto"/>
            <w:vAlign w:val="center"/>
          </w:tcPr>
          <w:p w14:paraId="2DC90650">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default" w:ascii="仿宋" w:hAnsi="仿宋" w:eastAsia="仿宋"/>
                <w:b/>
                <w:bCs/>
                <w:highlight w:val="none"/>
                <w:lang w:val="en-US" w:eastAsia="zh-CN"/>
              </w:rPr>
            </w:pPr>
            <w:r>
              <w:rPr>
                <w:rFonts w:hint="eastAsia" w:ascii="仿宋" w:hAnsi="仿宋" w:eastAsia="仿宋"/>
                <w:b/>
                <w:bCs/>
                <w:highlight w:val="none"/>
                <w:lang w:val="en-US" w:eastAsia="zh-CN"/>
              </w:rPr>
              <w:t>25万元</w:t>
            </w:r>
          </w:p>
        </w:tc>
        <w:tc>
          <w:tcPr>
            <w:tcW w:w="1663" w:type="pct"/>
            <w:tcBorders>
              <w:top w:val="nil"/>
              <w:left w:val="single" w:color="auto" w:sz="4" w:space="0"/>
              <w:bottom w:val="single" w:color="auto" w:sz="4" w:space="0"/>
              <w:right w:val="single" w:color="auto" w:sz="4" w:space="0"/>
            </w:tcBorders>
            <w:shd w:val="clear" w:color="auto" w:fill="auto"/>
            <w:vAlign w:val="center"/>
          </w:tcPr>
          <w:p w14:paraId="2E97B8B6">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default" w:ascii="仿宋" w:hAnsi="仿宋" w:eastAsia="仿宋"/>
                <w:b/>
                <w:bCs/>
                <w:highlight w:val="none"/>
                <w:lang w:val="en-US" w:eastAsia="zh-CN"/>
              </w:rPr>
            </w:pPr>
            <w:r>
              <w:rPr>
                <w:rFonts w:hint="eastAsia" w:ascii="仿宋" w:hAnsi="仿宋" w:eastAsia="仿宋"/>
                <w:b/>
                <w:bCs/>
                <w:highlight w:val="none"/>
                <w:lang w:val="en-US" w:eastAsia="zh-CN"/>
              </w:rPr>
              <w:t>年度服务</w:t>
            </w:r>
          </w:p>
        </w:tc>
      </w:tr>
      <w:tr w14:paraId="480F3A6E">
        <w:tblPrEx>
          <w:tblCellMar>
            <w:top w:w="0" w:type="dxa"/>
            <w:left w:w="108" w:type="dxa"/>
            <w:bottom w:w="0" w:type="dxa"/>
            <w:right w:w="108" w:type="dxa"/>
          </w:tblCellMar>
        </w:tblPrEx>
        <w:trPr>
          <w:trHeight w:val="731" w:hRule="atLeast"/>
        </w:trPr>
        <w:tc>
          <w:tcPr>
            <w:tcW w:w="2010" w:type="pct"/>
            <w:gridSpan w:val="4"/>
            <w:tcBorders>
              <w:top w:val="nil"/>
              <w:left w:val="single" w:color="auto" w:sz="4" w:space="0"/>
              <w:bottom w:val="single" w:color="auto" w:sz="4" w:space="0"/>
              <w:right w:val="single" w:color="auto" w:sz="4" w:space="0"/>
            </w:tcBorders>
            <w:shd w:val="clear" w:color="auto" w:fill="auto"/>
            <w:vAlign w:val="center"/>
          </w:tcPr>
          <w:p w14:paraId="3DDDBD49">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eastAsia" w:ascii="仿宋" w:hAnsi="仿宋" w:eastAsia="仿宋"/>
                <w:highlight w:val="none"/>
                <w:lang w:val="en-US" w:eastAsia="zh-CN"/>
              </w:rPr>
            </w:pPr>
            <w:r>
              <w:rPr>
                <w:rFonts w:hint="eastAsia" w:ascii="仿宋" w:hAnsi="仿宋" w:eastAsia="仿宋"/>
                <w:highlight w:val="none"/>
                <w:lang w:val="en-US" w:eastAsia="zh-CN"/>
              </w:rPr>
              <w:t>预算合计</w:t>
            </w:r>
          </w:p>
        </w:tc>
        <w:tc>
          <w:tcPr>
            <w:tcW w:w="2989" w:type="pct"/>
            <w:gridSpan w:val="2"/>
            <w:tcBorders>
              <w:top w:val="nil"/>
              <w:left w:val="nil"/>
              <w:bottom w:val="single" w:color="auto" w:sz="4" w:space="0"/>
              <w:right w:val="single" w:color="auto" w:sz="4" w:space="0"/>
            </w:tcBorders>
            <w:shd w:val="clear" w:color="auto" w:fill="auto"/>
            <w:vAlign w:val="center"/>
          </w:tcPr>
          <w:p w14:paraId="2A196141">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hint="default" w:ascii="仿宋" w:hAnsi="仿宋" w:eastAsia="仿宋"/>
                <w:highlight w:val="none"/>
                <w:lang w:val="en-US" w:eastAsia="zh-CN"/>
              </w:rPr>
            </w:pPr>
            <w:r>
              <w:rPr>
                <w:rFonts w:hint="eastAsia" w:ascii="仿宋" w:hAnsi="仿宋" w:eastAsia="仿宋"/>
                <w:highlight w:val="none"/>
                <w:lang w:val="en-US" w:eastAsia="zh-CN"/>
              </w:rPr>
              <w:t>25万元</w:t>
            </w:r>
          </w:p>
        </w:tc>
      </w:tr>
      <w:tr w14:paraId="72655B34">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vAlign w:val="center"/>
          </w:tcPr>
          <w:p w14:paraId="16A8753E">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lang w:val="en-US" w:eastAsia="zh-CN"/>
              </w:rPr>
              <w:t>实施/</w:t>
            </w:r>
            <w:r>
              <w:rPr>
                <w:rFonts w:hint="eastAsia" w:ascii="仿宋" w:hAnsi="仿宋" w:eastAsia="仿宋"/>
                <w:highlight w:val="none"/>
              </w:rPr>
              <w:t>交货期</w:t>
            </w:r>
          </w:p>
        </w:tc>
        <w:tc>
          <w:tcPr>
            <w:tcW w:w="4459" w:type="pct"/>
            <w:gridSpan w:val="5"/>
            <w:tcBorders>
              <w:top w:val="single" w:color="auto" w:sz="4" w:space="0"/>
              <w:left w:val="single" w:color="auto" w:sz="4" w:space="0"/>
              <w:bottom w:val="single" w:color="auto" w:sz="4" w:space="0"/>
              <w:right w:val="single" w:color="auto" w:sz="4" w:space="0"/>
            </w:tcBorders>
            <w:vAlign w:val="center"/>
          </w:tcPr>
          <w:p w14:paraId="2AB3292E">
            <w:pPr>
              <w:keepNext w:val="0"/>
              <w:keepLines w:val="0"/>
              <w:pageBreakBefore w:val="0"/>
              <w:kinsoku/>
              <w:wordWrap/>
              <w:overflowPunct/>
              <w:topLinePunct w:val="0"/>
              <w:autoSpaceDE/>
              <w:autoSpaceDN/>
              <w:bidi w:val="0"/>
              <w:adjustRightInd/>
              <w:spacing w:line="360" w:lineRule="auto"/>
              <w:ind w:right="-48" w:rightChars="-23"/>
              <w:textAlignment w:val="auto"/>
              <w:rPr>
                <w:rFonts w:hint="eastAsia" w:ascii="仿宋" w:hAnsi="仿宋" w:eastAsia="仿宋"/>
                <w:highlight w:val="none"/>
                <w:lang w:eastAsia="zh-CN"/>
              </w:rPr>
            </w:pPr>
            <w:r>
              <w:rPr>
                <w:rFonts w:hint="eastAsia" w:ascii="仿宋" w:hAnsi="仿宋" w:eastAsia="仿宋"/>
                <w:highlight w:val="none"/>
              </w:rPr>
              <w:t>合同签订之日起</w:t>
            </w:r>
            <w:r>
              <w:rPr>
                <w:rFonts w:hint="eastAsia" w:ascii="仿宋" w:hAnsi="仿宋" w:eastAsia="仿宋"/>
                <w:highlight w:val="none"/>
                <w:u w:val="single"/>
                <w:lang w:val="en-US" w:eastAsia="zh-CN"/>
              </w:rPr>
              <w:t xml:space="preserve"> 1 </w:t>
            </w:r>
            <w:r>
              <w:rPr>
                <w:rFonts w:hint="eastAsia" w:ascii="仿宋" w:hAnsi="仿宋" w:eastAsia="仿宋"/>
                <w:highlight w:val="none"/>
              </w:rPr>
              <w:t>个</w:t>
            </w:r>
            <w:r>
              <w:rPr>
                <w:rFonts w:hint="eastAsia" w:ascii="仿宋" w:hAnsi="仿宋" w:eastAsia="仿宋"/>
                <w:highlight w:val="none"/>
                <w:lang w:val="en-US" w:eastAsia="zh-CN"/>
              </w:rPr>
              <w:t>月</w:t>
            </w:r>
          </w:p>
        </w:tc>
      </w:tr>
      <w:tr w14:paraId="28B81F2A">
        <w:tblPrEx>
          <w:tblCellMar>
            <w:top w:w="0" w:type="dxa"/>
            <w:left w:w="108" w:type="dxa"/>
            <w:bottom w:w="0" w:type="dxa"/>
            <w:right w:w="108" w:type="dxa"/>
          </w:tblCellMar>
        </w:tblPrEx>
        <w:trPr>
          <w:trHeight w:val="20" w:hRule="atLeast"/>
        </w:trPr>
        <w:tc>
          <w:tcPr>
            <w:tcW w:w="540" w:type="pct"/>
            <w:tcBorders>
              <w:top w:val="single" w:color="auto" w:sz="4" w:space="0"/>
              <w:left w:val="single" w:color="auto" w:sz="4" w:space="0"/>
              <w:bottom w:val="single" w:color="auto" w:sz="4" w:space="0"/>
              <w:right w:val="single" w:color="auto" w:sz="4" w:space="0"/>
            </w:tcBorders>
            <w:vAlign w:val="center"/>
          </w:tcPr>
          <w:p w14:paraId="4235DCC2">
            <w:pPr>
              <w:keepNext w:val="0"/>
              <w:keepLines w:val="0"/>
              <w:pageBreakBefore w:val="0"/>
              <w:kinsoku/>
              <w:wordWrap/>
              <w:overflowPunct/>
              <w:topLinePunct w:val="0"/>
              <w:autoSpaceDE/>
              <w:autoSpaceDN/>
              <w:bidi w:val="0"/>
              <w:adjustRightInd/>
              <w:spacing w:line="360" w:lineRule="auto"/>
              <w:ind w:left="-48" w:leftChars="-23" w:right="-48" w:rightChars="-23"/>
              <w:jc w:val="center"/>
              <w:textAlignment w:val="auto"/>
              <w:rPr>
                <w:rFonts w:ascii="仿宋" w:hAnsi="仿宋" w:eastAsia="仿宋"/>
                <w:highlight w:val="none"/>
              </w:rPr>
            </w:pPr>
            <w:r>
              <w:rPr>
                <w:rFonts w:hint="eastAsia" w:ascii="仿宋" w:hAnsi="仿宋" w:eastAsia="仿宋"/>
                <w:highlight w:val="none"/>
              </w:rPr>
              <w:t>质保</w:t>
            </w:r>
            <w:r>
              <w:rPr>
                <w:rFonts w:hint="eastAsia" w:ascii="仿宋" w:hAnsi="仿宋" w:eastAsia="仿宋"/>
                <w:highlight w:val="none"/>
                <w:lang w:val="en-US" w:eastAsia="zh-CN"/>
              </w:rPr>
              <w:t>/服务</w:t>
            </w:r>
            <w:r>
              <w:rPr>
                <w:rFonts w:hint="eastAsia" w:ascii="仿宋" w:hAnsi="仿宋" w:eastAsia="仿宋"/>
                <w:highlight w:val="none"/>
              </w:rPr>
              <w:t>期</w:t>
            </w:r>
          </w:p>
        </w:tc>
        <w:tc>
          <w:tcPr>
            <w:tcW w:w="4459" w:type="pct"/>
            <w:gridSpan w:val="5"/>
            <w:tcBorders>
              <w:top w:val="single" w:color="auto" w:sz="4" w:space="0"/>
              <w:left w:val="single" w:color="auto" w:sz="4" w:space="0"/>
              <w:bottom w:val="single" w:color="auto" w:sz="4" w:space="0"/>
              <w:right w:val="single" w:color="auto" w:sz="4" w:space="0"/>
            </w:tcBorders>
            <w:vAlign w:val="center"/>
          </w:tcPr>
          <w:p w14:paraId="249BBD12">
            <w:pPr>
              <w:keepNext w:val="0"/>
              <w:keepLines w:val="0"/>
              <w:pageBreakBefore w:val="0"/>
              <w:kinsoku/>
              <w:wordWrap/>
              <w:overflowPunct/>
              <w:topLinePunct w:val="0"/>
              <w:autoSpaceDE/>
              <w:autoSpaceDN/>
              <w:bidi w:val="0"/>
              <w:adjustRightInd/>
              <w:spacing w:line="360" w:lineRule="auto"/>
              <w:ind w:right="-48" w:rightChars="-23"/>
              <w:textAlignment w:val="auto"/>
              <w:rPr>
                <w:rFonts w:ascii="仿宋" w:hAnsi="仿宋" w:eastAsia="仿宋"/>
                <w:highlight w:val="none"/>
              </w:rPr>
            </w:pPr>
            <w:r>
              <w:rPr>
                <w:rFonts w:hint="eastAsia" w:ascii="仿宋" w:hAnsi="仿宋" w:eastAsia="仿宋"/>
                <w:highlight w:val="none"/>
                <w:u w:val="single"/>
                <w:lang w:val="en-US" w:eastAsia="zh-CN"/>
              </w:rPr>
              <w:t xml:space="preserve"> 1 </w:t>
            </w:r>
            <w:r>
              <w:rPr>
                <w:rFonts w:hint="eastAsia" w:ascii="仿宋" w:hAnsi="仿宋" w:eastAsia="仿宋"/>
                <w:highlight w:val="none"/>
              </w:rPr>
              <w:t>年</w:t>
            </w:r>
          </w:p>
        </w:tc>
      </w:tr>
      <w:tr w14:paraId="21E8A276">
        <w:tblPrEx>
          <w:tblCellMar>
            <w:top w:w="0" w:type="dxa"/>
            <w:left w:w="108" w:type="dxa"/>
            <w:bottom w:w="0" w:type="dxa"/>
            <w:right w:w="108" w:type="dxa"/>
          </w:tblCellMar>
        </w:tblPrEx>
        <w:trPr>
          <w:trHeight w:val="20"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14:paraId="7BDC9B41">
            <w:pPr>
              <w:keepNext w:val="0"/>
              <w:keepLines w:val="0"/>
              <w:pageBreakBefore w:val="0"/>
              <w:kinsoku/>
              <w:wordWrap/>
              <w:overflowPunct/>
              <w:topLinePunct w:val="0"/>
              <w:autoSpaceDE/>
              <w:autoSpaceDN/>
              <w:bidi w:val="0"/>
              <w:adjustRightInd/>
              <w:spacing w:line="360" w:lineRule="auto"/>
              <w:ind w:right="-48" w:rightChars="-23"/>
              <w:textAlignment w:val="auto"/>
              <w:rPr>
                <w:rFonts w:hint="default" w:ascii="仿宋" w:hAnsi="仿宋" w:eastAsia="仿宋"/>
                <w:highlight w:val="none"/>
                <w:u w:val="single"/>
                <w:lang w:val="en-US" w:eastAsia="zh-CN"/>
              </w:rPr>
            </w:pPr>
            <w:r>
              <w:rPr>
                <w:rFonts w:hint="eastAsia" w:ascii="仿宋" w:hAnsi="仿宋" w:eastAsia="仿宋"/>
                <w:highlight w:val="none"/>
                <w:u w:val="none"/>
                <w:lang w:val="en-US" w:eastAsia="zh-CN"/>
              </w:rPr>
              <w:t>中小微企业：是</w:t>
            </w:r>
          </w:p>
        </w:tc>
      </w:tr>
      <w:tr w14:paraId="4DA831AD">
        <w:tblPrEx>
          <w:tblCellMar>
            <w:top w:w="0" w:type="dxa"/>
            <w:left w:w="108" w:type="dxa"/>
            <w:bottom w:w="0" w:type="dxa"/>
            <w:right w:w="108" w:type="dxa"/>
          </w:tblCellMar>
        </w:tblPrEx>
        <w:trPr>
          <w:trHeight w:val="20"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14:paraId="7B151819">
            <w:pPr>
              <w:keepNext w:val="0"/>
              <w:keepLines w:val="0"/>
              <w:pageBreakBefore w:val="0"/>
              <w:kinsoku/>
              <w:wordWrap/>
              <w:overflowPunct/>
              <w:topLinePunct w:val="0"/>
              <w:autoSpaceDE/>
              <w:autoSpaceDN/>
              <w:bidi w:val="0"/>
              <w:adjustRightInd/>
              <w:spacing w:line="360" w:lineRule="auto"/>
              <w:ind w:right="-48" w:rightChars="-23"/>
              <w:textAlignment w:val="auto"/>
              <w:rPr>
                <w:rFonts w:hint="default" w:ascii="仿宋" w:hAnsi="仿宋" w:eastAsia="仿宋"/>
                <w:highlight w:val="none"/>
                <w:u w:val="none"/>
                <w:lang w:val="en-US" w:eastAsia="zh-CN"/>
              </w:rPr>
            </w:pPr>
            <w:r>
              <w:rPr>
                <w:rFonts w:hint="eastAsia" w:ascii="仿宋" w:hAnsi="仿宋" w:eastAsia="仿宋"/>
                <w:highlight w:val="none"/>
                <w:u w:val="none"/>
                <w:lang w:val="en-US" w:eastAsia="zh-CN"/>
              </w:rPr>
              <w:t>其他要求：无</w:t>
            </w:r>
          </w:p>
        </w:tc>
      </w:tr>
    </w:tbl>
    <w:p w14:paraId="478B511C">
      <w:pPr>
        <w:pStyle w:val="3"/>
        <w:keepNext w:val="0"/>
        <w:keepLines w:val="0"/>
        <w:pageBreakBefore w:val="0"/>
        <w:numPr>
          <w:ilvl w:val="0"/>
          <w:numId w:val="1"/>
        </w:numPr>
        <w:tabs>
          <w:tab w:val="left" w:pos="360"/>
        </w:tabs>
        <w:kinsoku/>
        <w:wordWrap/>
        <w:overflowPunct/>
        <w:topLinePunct w:val="0"/>
        <w:autoSpaceDE/>
        <w:autoSpaceDN/>
        <w:bidi w:val="0"/>
        <w:adjustRightInd/>
        <w:spacing w:before="0" w:after="0" w:line="360" w:lineRule="auto"/>
        <w:ind w:left="616" w:hanging="616"/>
        <w:jc w:val="left"/>
        <w:textAlignment w:val="auto"/>
        <w:rPr>
          <w:highlight w:val="none"/>
          <w:lang w:val="zh-CN"/>
        </w:rPr>
      </w:pPr>
      <w:r>
        <w:rPr>
          <w:rFonts w:hint="eastAsia" w:ascii="仿宋" w:hAnsi="仿宋" w:eastAsia="仿宋" w:cs="Times New Roman"/>
          <w:bCs w:val="0"/>
          <w:color w:val="auto"/>
          <w:highlight w:val="none"/>
          <w:lang w:val="en-US" w:eastAsia="zh-CN"/>
        </w:rPr>
        <w:t>采购需求</w:t>
      </w:r>
    </w:p>
    <w:p w14:paraId="63CD1600">
      <w:pPr>
        <w:pStyle w:val="12"/>
        <w:keepNext w:val="0"/>
        <w:keepLines w:val="0"/>
        <w:pageBreakBefore w:val="0"/>
        <w:numPr>
          <w:ilvl w:val="0"/>
          <w:numId w:val="3"/>
        </w:numPr>
        <w:kinsoku/>
        <w:wordWrap/>
        <w:overflowPunct/>
        <w:topLinePunct w:val="0"/>
        <w:autoSpaceDE/>
        <w:autoSpaceDN/>
        <w:bidi w:val="0"/>
        <w:adjustRightInd/>
        <w:spacing w:line="360" w:lineRule="auto"/>
        <w:ind w:firstLine="0" w:firstLineChars="0"/>
        <w:textAlignment w:val="auto"/>
        <w:rPr>
          <w:rFonts w:ascii="仿宋" w:hAnsi="仿宋" w:eastAsia="仿宋"/>
          <w:b/>
          <w:szCs w:val="24"/>
          <w:highlight w:val="none"/>
        </w:rPr>
      </w:pPr>
      <w:r>
        <w:rPr>
          <w:rFonts w:hint="eastAsia" w:ascii="仿宋" w:hAnsi="仿宋" w:eastAsia="仿宋"/>
          <w:b/>
          <w:szCs w:val="24"/>
          <w:highlight w:val="none"/>
          <w:lang w:val="en-US" w:eastAsia="zh-CN"/>
        </w:rPr>
        <w:t>服务内容</w:t>
      </w:r>
    </w:p>
    <w:p w14:paraId="0AE97E89">
      <w:pPr>
        <w:pStyle w:val="12"/>
        <w:keepNext w:val="0"/>
        <w:keepLines w:val="0"/>
        <w:pageBreakBefore w:val="0"/>
        <w:numPr>
          <w:ilvl w:val="0"/>
          <w:numId w:val="0"/>
        </w:numPr>
        <w:kinsoku/>
        <w:wordWrap/>
        <w:overflowPunct/>
        <w:topLinePunct w:val="0"/>
        <w:autoSpaceDE/>
        <w:autoSpaceDN/>
        <w:bidi w:val="0"/>
        <w:adjustRightInd/>
        <w:spacing w:line="360" w:lineRule="auto"/>
        <w:textAlignment w:val="auto"/>
        <w:rPr>
          <w:rFonts w:hint="default" w:ascii="仿宋" w:hAnsi="仿宋" w:eastAsia="仿宋"/>
          <w:b/>
          <w:szCs w:val="24"/>
          <w:highlight w:val="none"/>
          <w:lang w:val="en-US"/>
        </w:rPr>
      </w:pPr>
      <w:r>
        <w:rPr>
          <w:rFonts w:hint="eastAsia" w:ascii="仿宋" w:hAnsi="仿宋" w:eastAsia="仿宋"/>
          <w:b/>
          <w:szCs w:val="24"/>
          <w:highlight w:val="none"/>
          <w:lang w:val="en-US" w:eastAsia="zh-CN"/>
        </w:rPr>
        <w:t xml:space="preserve">  </w:t>
      </w:r>
      <w:r>
        <w:rPr>
          <w:rFonts w:hint="eastAsia" w:ascii="仿宋" w:hAnsi="仿宋" w:eastAsia="仿宋"/>
          <w:b w:val="0"/>
          <w:bCs/>
          <w:szCs w:val="24"/>
          <w:highlight w:val="none"/>
          <w:lang w:val="en-US" w:eastAsia="zh-CN"/>
        </w:rPr>
        <w:t xml:space="preserve"> 包括：临床教学培训管理、医学考试、综合评估、医视在线培训</w:t>
      </w:r>
    </w:p>
    <w:tbl>
      <w:tblPr>
        <w:tblStyle w:val="10"/>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764"/>
        <w:gridCol w:w="6303"/>
      </w:tblGrid>
      <w:tr w14:paraId="131F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56" w:type="dxa"/>
            <w:tcBorders>
              <w:tl2br w:val="nil"/>
              <w:tr2bl w:val="nil"/>
            </w:tcBorders>
            <w:vAlign w:val="center"/>
          </w:tcPr>
          <w:p w14:paraId="6DF4210B">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jc w:val="center"/>
              <w:textAlignment w:val="auto"/>
              <w:rPr>
                <w:rFonts w:hint="default" w:eastAsiaTheme="minorEastAsia"/>
                <w:highlight w:val="none"/>
                <w:lang w:val="en-US" w:eastAsia="zh-CN"/>
              </w:rPr>
            </w:pPr>
            <w:r>
              <w:rPr>
                <w:rFonts w:hint="eastAsia"/>
                <w:highlight w:val="none"/>
                <w:lang w:val="en-US" w:eastAsia="zh-CN"/>
              </w:rPr>
              <w:t>产品名称</w:t>
            </w:r>
          </w:p>
        </w:tc>
        <w:tc>
          <w:tcPr>
            <w:tcW w:w="1764" w:type="dxa"/>
            <w:tcBorders>
              <w:tl2br w:val="nil"/>
              <w:tr2bl w:val="nil"/>
            </w:tcBorders>
            <w:vAlign w:val="center"/>
          </w:tcPr>
          <w:p w14:paraId="0CEBB7E4">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highlight w:val="none"/>
              </w:rPr>
            </w:pPr>
            <w:r>
              <w:rPr>
                <w:rFonts w:hint="eastAsia"/>
                <w:highlight w:val="none"/>
              </w:rPr>
              <w:t>临床教学管理与培训学习一体化平台运营服务项目</w:t>
            </w:r>
          </w:p>
        </w:tc>
        <w:tc>
          <w:tcPr>
            <w:tcW w:w="6303" w:type="dxa"/>
            <w:tcBorders>
              <w:tl2br w:val="nil"/>
              <w:tr2bl w:val="nil"/>
            </w:tcBorders>
            <w:vAlign w:val="center"/>
          </w:tcPr>
          <w:p w14:paraId="68B34D5B">
            <w:pPr>
              <w:pStyle w:val="4"/>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highlight w:val="none"/>
                <w:lang w:val="en-US" w:eastAsia="zh-CN"/>
              </w:rPr>
            </w:pPr>
            <w:r>
              <w:rPr>
                <w:rFonts w:hint="eastAsia"/>
                <w:highlight w:val="none"/>
                <w:lang w:val="en-US" w:eastAsia="zh-CN"/>
              </w:rPr>
              <w:t>住院医师规范化培训管理系统*1套</w:t>
            </w:r>
          </w:p>
          <w:p w14:paraId="73CE48D2">
            <w:pPr>
              <w:pStyle w:val="4"/>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highlight w:val="none"/>
              </w:rPr>
            </w:pPr>
            <w:r>
              <w:rPr>
                <w:rFonts w:hint="eastAsia"/>
                <w:highlight w:val="none"/>
              </w:rPr>
              <w:t>医学考试</w:t>
            </w:r>
            <w:r>
              <w:rPr>
                <w:rFonts w:hint="eastAsia"/>
                <w:highlight w:val="none"/>
                <w:lang w:val="en-US" w:eastAsia="zh-CN"/>
              </w:rPr>
              <w:t>系统*1套</w:t>
            </w:r>
          </w:p>
          <w:p w14:paraId="76CBA374">
            <w:pPr>
              <w:pStyle w:val="4"/>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highlight w:val="none"/>
              </w:rPr>
            </w:pPr>
            <w:r>
              <w:rPr>
                <w:rFonts w:hint="eastAsia"/>
                <w:highlight w:val="none"/>
                <w:lang w:val="en-US" w:eastAsia="zh-CN"/>
              </w:rPr>
              <w:t>360度评估系统*1套</w:t>
            </w:r>
          </w:p>
          <w:p w14:paraId="75740682">
            <w:pPr>
              <w:pStyle w:val="4"/>
              <w:keepNext w:val="0"/>
              <w:keepLines w:val="0"/>
              <w:pageBreakBefore w:val="0"/>
              <w:numPr>
                <w:ilvl w:val="0"/>
                <w:numId w:val="4"/>
              </w:numPr>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highlight w:val="none"/>
              </w:rPr>
            </w:pPr>
            <w:r>
              <w:rPr>
                <w:rFonts w:hint="eastAsia"/>
                <w:highlight w:val="none"/>
                <w:lang w:val="en-US" w:eastAsia="zh-CN"/>
              </w:rPr>
              <w:t>医视在线培训平台基础版（Saas产品）*1套</w:t>
            </w:r>
          </w:p>
        </w:tc>
      </w:tr>
      <w:tr w14:paraId="0E4EA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56" w:type="dxa"/>
            <w:vMerge w:val="restart"/>
            <w:tcBorders>
              <w:tl2br w:val="nil"/>
              <w:tr2bl w:val="nil"/>
            </w:tcBorders>
            <w:vAlign w:val="center"/>
          </w:tcPr>
          <w:p w14:paraId="73073520">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jc w:val="center"/>
              <w:textAlignment w:val="auto"/>
              <w:rPr>
                <w:rFonts w:hint="default"/>
                <w:highlight w:val="none"/>
                <w:lang w:val="en-US" w:eastAsia="zh-CN"/>
              </w:rPr>
            </w:pPr>
            <w:r>
              <w:rPr>
                <w:rFonts w:hint="eastAsia"/>
                <w:highlight w:val="none"/>
                <w:lang w:val="en-US" w:eastAsia="zh-CN"/>
              </w:rPr>
              <w:t>许可容量</w:t>
            </w:r>
          </w:p>
        </w:tc>
        <w:tc>
          <w:tcPr>
            <w:tcW w:w="1764" w:type="dxa"/>
            <w:tcBorders>
              <w:tl2br w:val="nil"/>
              <w:tr2bl w:val="nil"/>
            </w:tcBorders>
            <w:vAlign w:val="center"/>
          </w:tcPr>
          <w:p w14:paraId="66273C44">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eastAsia" w:eastAsiaTheme="minorEastAsia"/>
                <w:highlight w:val="none"/>
                <w:lang w:val="en-US" w:eastAsia="zh-CN"/>
              </w:rPr>
            </w:pPr>
            <w:r>
              <w:rPr>
                <w:rFonts w:hint="eastAsia"/>
                <w:highlight w:val="none"/>
                <w:lang w:val="en-US" w:eastAsia="zh-CN"/>
              </w:rPr>
              <w:t>并发数</w:t>
            </w:r>
          </w:p>
        </w:tc>
        <w:tc>
          <w:tcPr>
            <w:tcW w:w="6303" w:type="dxa"/>
            <w:tcBorders>
              <w:tl2br w:val="nil"/>
              <w:tr2bl w:val="nil"/>
            </w:tcBorders>
            <w:vAlign w:val="center"/>
          </w:tcPr>
          <w:p w14:paraId="3DBE9DF3">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default" w:eastAsiaTheme="minorEastAsia"/>
                <w:highlight w:val="none"/>
                <w:lang w:val="en-US" w:eastAsia="zh-CN"/>
              </w:rPr>
            </w:pPr>
            <w:r>
              <w:rPr>
                <w:rFonts w:hint="eastAsia"/>
                <w:highlight w:val="none"/>
                <w:lang w:val="en-US" w:eastAsia="zh-CN"/>
              </w:rPr>
              <w:t>2000</w:t>
            </w:r>
          </w:p>
        </w:tc>
      </w:tr>
      <w:tr w14:paraId="171D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456" w:type="dxa"/>
            <w:vMerge w:val="continue"/>
            <w:tcBorders>
              <w:tl2br w:val="nil"/>
              <w:tr2bl w:val="nil"/>
            </w:tcBorders>
            <w:vAlign w:val="center"/>
          </w:tcPr>
          <w:p w14:paraId="31C2BBC1">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jc w:val="center"/>
              <w:textAlignment w:val="auto"/>
              <w:rPr>
                <w:rFonts w:hint="eastAsia"/>
                <w:highlight w:val="none"/>
                <w:lang w:val="en-US" w:eastAsia="zh-CN"/>
              </w:rPr>
            </w:pPr>
          </w:p>
        </w:tc>
        <w:tc>
          <w:tcPr>
            <w:tcW w:w="1764" w:type="dxa"/>
            <w:tcBorders>
              <w:tl2br w:val="nil"/>
              <w:tr2bl w:val="nil"/>
            </w:tcBorders>
            <w:vAlign w:val="center"/>
          </w:tcPr>
          <w:p w14:paraId="4101FB82">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default" w:eastAsiaTheme="minorEastAsia"/>
                <w:highlight w:val="none"/>
                <w:lang w:val="en-US" w:eastAsia="zh-CN"/>
              </w:rPr>
            </w:pPr>
            <w:r>
              <w:rPr>
                <w:rFonts w:hint="eastAsia"/>
                <w:highlight w:val="none"/>
                <w:lang w:val="en-US" w:eastAsia="zh-CN"/>
              </w:rPr>
              <w:t>授权使用者范围</w:t>
            </w:r>
          </w:p>
        </w:tc>
        <w:tc>
          <w:tcPr>
            <w:tcW w:w="6303" w:type="dxa"/>
            <w:tcBorders>
              <w:tl2br w:val="nil"/>
              <w:tr2bl w:val="nil"/>
            </w:tcBorders>
            <w:vAlign w:val="center"/>
          </w:tcPr>
          <w:p w14:paraId="61F576E5">
            <w:pPr>
              <w:pStyle w:val="4"/>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leftChars="0" w:right="0" w:firstLine="0" w:firstLineChars="0"/>
              <w:textAlignment w:val="auto"/>
              <w:rPr>
                <w:rFonts w:hint="default" w:eastAsiaTheme="minorEastAsia"/>
                <w:highlight w:val="none"/>
                <w:lang w:val="en-US" w:eastAsia="zh-CN"/>
              </w:rPr>
            </w:pPr>
            <w:r>
              <w:rPr>
                <w:rFonts w:hint="eastAsia"/>
                <w:highlight w:val="none"/>
                <w:lang w:val="en-US" w:eastAsia="zh-CN"/>
              </w:rPr>
              <w:t>在校学生、在职教师、住院医师、专科医师、本科生、研究生、进修人员、继续教育等各类教学类型工作人员（不包括直属或非直属附属医院工作人员，包含医疗服务机构聘用的医疗专业人员和工作人员，包含企事业单位聘用的在职人员）及其他相关人员</w:t>
            </w:r>
          </w:p>
        </w:tc>
      </w:tr>
    </w:tbl>
    <w:p w14:paraId="419C7A07">
      <w:pPr>
        <w:pStyle w:val="12"/>
        <w:keepNext w:val="0"/>
        <w:keepLines w:val="0"/>
        <w:pageBreakBefore w:val="0"/>
        <w:numPr>
          <w:ilvl w:val="0"/>
          <w:numId w:val="0"/>
        </w:numPr>
        <w:kinsoku/>
        <w:wordWrap/>
        <w:overflowPunct/>
        <w:topLinePunct w:val="0"/>
        <w:autoSpaceDE/>
        <w:autoSpaceDN/>
        <w:bidi w:val="0"/>
        <w:adjustRightInd/>
        <w:spacing w:line="360" w:lineRule="auto"/>
        <w:textAlignment w:val="auto"/>
        <w:rPr>
          <w:rFonts w:ascii="仿宋" w:hAnsi="仿宋" w:eastAsia="仿宋"/>
          <w:b/>
          <w:szCs w:val="24"/>
          <w:highlight w:val="none"/>
        </w:rPr>
      </w:pPr>
    </w:p>
    <w:p w14:paraId="22804599">
      <w:pPr>
        <w:pStyle w:val="12"/>
        <w:keepNext w:val="0"/>
        <w:keepLines w:val="0"/>
        <w:pageBreakBefore w:val="0"/>
        <w:numPr>
          <w:ilvl w:val="0"/>
          <w:numId w:val="3"/>
        </w:numPr>
        <w:kinsoku/>
        <w:wordWrap/>
        <w:overflowPunct/>
        <w:topLinePunct w:val="0"/>
        <w:autoSpaceDE/>
        <w:autoSpaceDN/>
        <w:bidi w:val="0"/>
        <w:adjustRightInd/>
        <w:spacing w:line="360" w:lineRule="auto"/>
        <w:ind w:firstLine="0" w:firstLineChars="0"/>
        <w:textAlignment w:val="auto"/>
        <w:rPr>
          <w:rFonts w:ascii="仿宋" w:hAnsi="仿宋" w:eastAsia="仿宋"/>
          <w:b/>
          <w:szCs w:val="24"/>
          <w:highlight w:val="none"/>
        </w:rPr>
      </w:pPr>
      <w:r>
        <w:rPr>
          <w:rFonts w:hint="eastAsia" w:ascii="仿宋" w:hAnsi="仿宋" w:eastAsia="仿宋"/>
          <w:b/>
          <w:szCs w:val="24"/>
          <w:highlight w:val="none"/>
          <w:lang w:val="en-US" w:eastAsia="zh-CN"/>
        </w:rPr>
        <w:t>服务</w:t>
      </w:r>
      <w:r>
        <w:rPr>
          <w:rFonts w:ascii="仿宋" w:hAnsi="仿宋" w:eastAsia="仿宋"/>
          <w:b/>
          <w:szCs w:val="24"/>
          <w:highlight w:val="none"/>
        </w:rPr>
        <w:t>要求</w:t>
      </w:r>
    </w:p>
    <w:p w14:paraId="1C9FC158">
      <w:pPr>
        <w:pStyle w:val="12"/>
        <w:keepNext w:val="0"/>
        <w:keepLines w:val="0"/>
        <w:pageBreakBefore w:val="0"/>
        <w:numPr>
          <w:ilvl w:val="0"/>
          <w:numId w:val="0"/>
        </w:numPr>
        <w:kinsoku/>
        <w:wordWrap/>
        <w:overflowPunct/>
        <w:topLinePunct w:val="0"/>
        <w:autoSpaceDE/>
        <w:autoSpaceDN/>
        <w:bidi w:val="0"/>
        <w:adjustRightInd/>
        <w:spacing w:line="360" w:lineRule="auto"/>
        <w:textAlignment w:val="auto"/>
        <w:rPr>
          <w:rFonts w:hint="default" w:ascii="仿宋" w:hAnsi="仿宋" w:eastAsia="仿宋"/>
          <w:b/>
          <w:szCs w:val="24"/>
          <w:highlight w:val="none"/>
          <w:lang w:val="en-US" w:eastAsia="zh-CN"/>
        </w:rPr>
      </w:pPr>
      <w:r>
        <w:rPr>
          <w:rFonts w:hint="eastAsia" w:ascii="仿宋" w:hAnsi="仿宋" w:eastAsia="仿宋"/>
          <w:b/>
          <w:szCs w:val="24"/>
          <w:highlight w:val="none"/>
          <w:lang w:val="en-US" w:eastAsia="zh-CN"/>
        </w:rPr>
        <w:t xml:space="preserve">   </w:t>
      </w:r>
      <w:bookmarkStart w:id="2" w:name="_GoBack"/>
      <w:r>
        <w:rPr>
          <w:rFonts w:hint="eastAsia" w:ascii="仿宋" w:hAnsi="仿宋" w:eastAsia="仿宋"/>
          <w:b w:val="0"/>
          <w:bCs/>
          <w:szCs w:val="24"/>
          <w:highlight w:val="none"/>
          <w:lang w:val="en-US" w:eastAsia="zh-CN"/>
        </w:rPr>
        <w:t>提供临床教学培训管理、医学考试、综合评估、医视在线培训服务相关培训、升级、客户化、系统集成需求，服务期1年</w:t>
      </w:r>
      <w:bookmarkEnd w:id="2"/>
    </w:p>
    <w:bookmarkEnd w:id="0"/>
    <w:tbl>
      <w:tblPr>
        <w:tblStyle w:val="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autofit"/>
        <w:tblCellMar>
          <w:top w:w="0" w:type="dxa"/>
          <w:left w:w="108" w:type="dxa"/>
          <w:bottom w:w="0" w:type="dxa"/>
          <w:right w:w="108" w:type="dxa"/>
        </w:tblCellMar>
      </w:tblPr>
      <w:tblGrid>
        <w:gridCol w:w="741"/>
        <w:gridCol w:w="1167"/>
        <w:gridCol w:w="6611"/>
      </w:tblGrid>
      <w:tr w14:paraId="28D9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FFFFFF" w:themeFill="background1"/>
            <w:vAlign w:val="center"/>
          </w:tcPr>
          <w:p w14:paraId="68088A3F">
            <w:pPr>
              <w:pStyle w:val="4"/>
              <w:keepNext w:val="0"/>
              <w:keepLines w:val="0"/>
              <w:pageBreakBefore w:val="0"/>
              <w:widowControl/>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688" w:type="pct"/>
            <w:shd w:val="clear" w:color="auto" w:fill="FFFFFF" w:themeFill="background1"/>
            <w:vAlign w:val="center"/>
          </w:tcPr>
          <w:p w14:paraId="27E0C320">
            <w:pPr>
              <w:pStyle w:val="4"/>
              <w:keepNext w:val="0"/>
              <w:keepLines w:val="0"/>
              <w:pageBreakBefore w:val="0"/>
              <w:widowControl/>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服务</w:t>
            </w:r>
            <w:r>
              <w:rPr>
                <w:rFonts w:hint="eastAsia" w:ascii="宋体" w:hAnsi="宋体" w:eastAsia="宋体" w:cs="宋体"/>
                <w:sz w:val="21"/>
                <w:szCs w:val="21"/>
                <w:highlight w:val="none"/>
              </w:rPr>
              <w:t>项</w:t>
            </w:r>
          </w:p>
        </w:tc>
        <w:tc>
          <w:tcPr>
            <w:tcW w:w="3882" w:type="pct"/>
            <w:shd w:val="clear" w:color="auto" w:fill="FFFFFF" w:themeFill="background1"/>
            <w:vAlign w:val="center"/>
          </w:tcPr>
          <w:p w14:paraId="7504CC35">
            <w:pPr>
              <w:pStyle w:val="4"/>
              <w:keepNext w:val="0"/>
              <w:keepLines w:val="0"/>
              <w:pageBreakBefore w:val="0"/>
              <w:widowControl/>
              <w:kinsoku/>
              <w:wordWrap/>
              <w:overflowPunct/>
              <w:topLinePunct w:val="0"/>
              <w:autoSpaceDE/>
              <w:autoSpaceDN/>
              <w:bidi w:val="0"/>
              <w:adjustRightInd/>
              <w:spacing w:line="36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要求</w:t>
            </w:r>
          </w:p>
        </w:tc>
      </w:tr>
      <w:tr w14:paraId="4C489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2A719E7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688" w:type="pct"/>
            <w:shd w:val="clear" w:color="auto" w:fill="auto"/>
            <w:vAlign w:val="center"/>
          </w:tcPr>
          <w:p w14:paraId="03453C4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实现</w:t>
            </w:r>
            <w:r>
              <w:rPr>
                <w:rFonts w:hint="eastAsia" w:ascii="宋体" w:hAnsi="宋体" w:eastAsia="宋体" w:cs="宋体"/>
                <w:bCs/>
                <w:color w:val="auto"/>
                <w:sz w:val="21"/>
                <w:szCs w:val="21"/>
                <w:highlight w:val="none"/>
              </w:rPr>
              <w:t>培训管理服务</w:t>
            </w:r>
            <w:r>
              <w:rPr>
                <w:rFonts w:hint="eastAsia" w:ascii="宋体" w:hAnsi="宋体" w:eastAsia="宋体" w:cs="宋体"/>
                <w:bCs/>
                <w:color w:val="auto"/>
                <w:sz w:val="21"/>
                <w:szCs w:val="21"/>
                <w:highlight w:val="none"/>
                <w:lang w:val="en-US" w:eastAsia="zh-CN"/>
              </w:rPr>
              <w:t>要求</w:t>
            </w:r>
          </w:p>
        </w:tc>
        <w:tc>
          <w:tcPr>
            <w:tcW w:w="3882" w:type="pct"/>
            <w:shd w:val="clear" w:color="auto" w:fill="auto"/>
            <w:vAlign w:val="center"/>
          </w:tcPr>
          <w:p w14:paraId="051F01F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支持PC端和移动双终端，其中移动端有独立APP，可以完成数字教材、医学数据库查阅；在线考试；过程管理查看、编辑、录入、出科、考勤、教学活动。</w:t>
            </w:r>
          </w:p>
        </w:tc>
      </w:tr>
      <w:tr w14:paraId="37F2C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74D1E5F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w:t>
            </w:r>
          </w:p>
        </w:tc>
        <w:tc>
          <w:tcPr>
            <w:tcW w:w="688" w:type="pct"/>
            <w:shd w:val="clear" w:color="auto" w:fill="auto"/>
            <w:vAlign w:val="center"/>
          </w:tcPr>
          <w:p w14:paraId="03A5DBB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科室管理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117B15C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对科室信息（科室名称、不同类型学员每月科室轮转量）进行添加、编辑、删除、查询。</w:t>
            </w:r>
          </w:p>
        </w:tc>
      </w:tr>
      <w:tr w14:paraId="5E6D9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448292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1.2</w:t>
            </w:r>
          </w:p>
        </w:tc>
        <w:tc>
          <w:tcPr>
            <w:tcW w:w="688" w:type="pct"/>
            <w:shd w:val="clear" w:color="auto" w:fill="auto"/>
            <w:vAlign w:val="center"/>
          </w:tcPr>
          <w:p w14:paraId="4C16FC6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学员管理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69550EB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实现对院内学员信息、培训记录、宿舍安排统一管理要求。</w:t>
            </w:r>
          </w:p>
        </w:tc>
      </w:tr>
      <w:tr w14:paraId="19893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2FB02CE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1.3</w:t>
            </w:r>
          </w:p>
        </w:tc>
        <w:tc>
          <w:tcPr>
            <w:tcW w:w="688" w:type="pct"/>
            <w:shd w:val="clear" w:color="auto" w:fill="auto"/>
            <w:vAlign w:val="center"/>
          </w:tcPr>
          <w:p w14:paraId="6A68031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师资管理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E95AA1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实现对院内师资信息、教学记录等统一管理要求。</w:t>
            </w:r>
          </w:p>
        </w:tc>
      </w:tr>
      <w:tr w14:paraId="4FBCF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29504D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1.4</w:t>
            </w:r>
          </w:p>
        </w:tc>
        <w:tc>
          <w:tcPr>
            <w:tcW w:w="688" w:type="pct"/>
            <w:shd w:val="clear" w:color="auto" w:fill="auto"/>
            <w:vAlign w:val="center"/>
          </w:tcPr>
          <w:p w14:paraId="3C05845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服务首页</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06A6810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培训管理服务中每个用户角色都有属于自己的个人首页，很清楚了解自己所有业务处理情况及待办事项。可以在同一个页面进行所有待办事项处理。每一个业务流的变化都会以通知形式告知相关人员。</w:t>
            </w:r>
          </w:p>
        </w:tc>
      </w:tr>
      <w:tr w14:paraId="6528C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D3B530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1.5</w:t>
            </w:r>
          </w:p>
        </w:tc>
        <w:tc>
          <w:tcPr>
            <w:tcW w:w="688" w:type="pct"/>
            <w:shd w:val="clear" w:color="auto" w:fill="auto"/>
            <w:vAlign w:val="center"/>
          </w:tcPr>
          <w:p w14:paraId="227C755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轮转管理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1275DB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将医院的实际科室与培训细则中要求的标准科室名称进行轮转科室配置，并可添加其他专业的轮转科室。每个专业可以设置多个轮转课程包，对应不同参培年份学员、不同类型学员。课程包可以对应多个学员，也可以每个学员对应一个课程包。根据培训大纲要求，结合科室容量、课程包设置，进行智能排班，支持轮转排班计划导出，批量导入排班计划，也可微调学员的轮转排班计划。</w:t>
            </w:r>
          </w:p>
        </w:tc>
      </w:tr>
      <w:tr w14:paraId="211AF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CB24FD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1.6</w:t>
            </w:r>
          </w:p>
        </w:tc>
        <w:tc>
          <w:tcPr>
            <w:tcW w:w="688" w:type="pct"/>
            <w:shd w:val="clear" w:color="auto" w:fill="auto"/>
            <w:vAlign w:val="center"/>
          </w:tcPr>
          <w:p w14:paraId="371E998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教学管理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3891E63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已入科学员可分配带教老师，带教老师对学员录入病种技能进行审核，对学员出科做出出科鉴定。</w:t>
            </w:r>
          </w:p>
        </w:tc>
      </w:tr>
      <w:tr w14:paraId="557A8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460F895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1.7</w:t>
            </w:r>
          </w:p>
        </w:tc>
        <w:tc>
          <w:tcPr>
            <w:tcW w:w="688" w:type="pct"/>
            <w:shd w:val="clear" w:color="auto" w:fill="auto"/>
            <w:vAlign w:val="center"/>
          </w:tcPr>
          <w:p w14:paraId="10AF317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教学活动管理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7B2A9BD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可添加、编辑、删除、查看、发布教学活动；已添加的教学活动可自动生成二维码，学员或带教老师可通过扫描二维码进行签到和签退，并可提供课堂测验及各个维度活动统计功能。</w:t>
            </w:r>
          </w:p>
        </w:tc>
      </w:tr>
      <w:tr w14:paraId="43EAA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E29141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1.8</w:t>
            </w:r>
          </w:p>
        </w:tc>
        <w:tc>
          <w:tcPr>
            <w:tcW w:w="688" w:type="pct"/>
            <w:shd w:val="clear" w:color="auto" w:fill="auto"/>
            <w:vAlign w:val="center"/>
          </w:tcPr>
          <w:p w14:paraId="347F05A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学员管理模块</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2B4F671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查看轮转计划，并可根据轮转手册要求完成规定科室的病种技能录入。可填写出科小结，根据科室日常排班进行正常打卡，通过考勤月历查看每个月签到情况，参加教学活动。</w:t>
            </w:r>
          </w:p>
        </w:tc>
      </w:tr>
      <w:tr w14:paraId="6DA3B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4AD5591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1.9</w:t>
            </w:r>
          </w:p>
        </w:tc>
        <w:tc>
          <w:tcPr>
            <w:tcW w:w="688" w:type="pct"/>
            <w:shd w:val="clear" w:color="auto" w:fill="auto"/>
            <w:vAlign w:val="center"/>
          </w:tcPr>
          <w:p w14:paraId="633CAE1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带教老师管理模块</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4DBA4B8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可审核学员登记手册，录入的病种技能，对申请出科学员做出出科鉴定。可管理发布参加教学活动。</w:t>
            </w:r>
          </w:p>
        </w:tc>
      </w:tr>
      <w:tr w14:paraId="31807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2F5A5E1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1.10</w:t>
            </w:r>
          </w:p>
        </w:tc>
        <w:tc>
          <w:tcPr>
            <w:tcW w:w="688" w:type="pct"/>
            <w:shd w:val="clear" w:color="auto" w:fill="auto"/>
            <w:vAlign w:val="center"/>
          </w:tcPr>
          <w:p w14:paraId="1DC6E79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服务连接与接口</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2459092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服务可提供接口与国家平台对接，保证数据同步，并且具有较强延展性。</w:t>
            </w:r>
          </w:p>
        </w:tc>
      </w:tr>
      <w:tr w14:paraId="04139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7E275FD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1.11</w:t>
            </w:r>
          </w:p>
        </w:tc>
        <w:tc>
          <w:tcPr>
            <w:tcW w:w="688" w:type="pct"/>
            <w:shd w:val="clear" w:color="auto" w:fill="auto"/>
            <w:vAlign w:val="center"/>
          </w:tcPr>
          <w:p w14:paraId="4A8F8A5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数字教材</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43BE568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包含临床医学本科数字化教材，总文字量不少于5000万字，其中高清多媒体图片不少于20000张、二维、三维动画不少于1000段，高清医学视频不少于1000段，病例、案例分析不少于500个。</w:t>
            </w:r>
          </w:p>
        </w:tc>
      </w:tr>
      <w:tr w14:paraId="2290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DABAAF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1.12</w:t>
            </w:r>
          </w:p>
        </w:tc>
        <w:tc>
          <w:tcPr>
            <w:tcW w:w="688" w:type="pct"/>
            <w:shd w:val="clear" w:color="auto" w:fill="auto"/>
            <w:vAlign w:val="center"/>
          </w:tcPr>
          <w:p w14:paraId="1A274B3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医学数据库</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5AF3DC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至少包含疾病数据库、药品数据库、手术学数据库、辅助检查库、循证证据库、疾病进展库、手术图谱库、医保药品库、临床操作规范库中任意6个数据库。总文字量不少于5000万字，高清图谱不少于1万幅。</w:t>
            </w:r>
          </w:p>
        </w:tc>
      </w:tr>
      <w:tr w14:paraId="66880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6216CC0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1.13</w:t>
            </w:r>
          </w:p>
        </w:tc>
        <w:tc>
          <w:tcPr>
            <w:tcW w:w="688" w:type="pct"/>
            <w:shd w:val="clear" w:color="auto" w:fill="auto"/>
            <w:vAlign w:val="center"/>
          </w:tcPr>
          <w:p w14:paraId="710E5EA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数据库类别</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3587E8F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数据库内每种药品均应包含药品名称，英文名称，别名，类型，剂型，药物原理，药物效果，适应症，禁忌症，注意事项，不良反应，用法用量，药物相关作用，专家评论等数据索引，可快速切换，精确查找。每个疾病均有疾病名称，英文名称，类别，ICD号，概述，流行病学，病因，发病机制，临床表现，并发症，实验室检查，其他辅助检查，诊断，鉴别诊断，治疗，预后，预防等数据索引，支持精确查找，快速定位。数据库中疾病药品或规范均支持收藏，可反复查看学习，巩固知识。</w:t>
            </w:r>
          </w:p>
        </w:tc>
      </w:tr>
      <w:tr w14:paraId="30BAF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D685C7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688" w:type="pct"/>
            <w:shd w:val="clear" w:color="auto" w:fill="auto"/>
            <w:vAlign w:val="center"/>
          </w:tcPr>
          <w:p w14:paraId="59E482F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实现</w:t>
            </w:r>
            <w:r>
              <w:rPr>
                <w:rFonts w:hint="eastAsia" w:ascii="宋体" w:hAnsi="宋体" w:eastAsia="宋体" w:cs="宋体"/>
                <w:bCs/>
                <w:color w:val="auto"/>
                <w:sz w:val="21"/>
                <w:szCs w:val="21"/>
                <w:highlight w:val="none"/>
              </w:rPr>
              <w:t>医学考试服务</w:t>
            </w:r>
            <w:r>
              <w:rPr>
                <w:rFonts w:hint="eastAsia" w:ascii="宋体" w:hAnsi="宋体" w:eastAsia="宋体" w:cs="宋体"/>
                <w:bCs/>
                <w:color w:val="auto"/>
                <w:sz w:val="21"/>
                <w:szCs w:val="21"/>
                <w:highlight w:val="none"/>
                <w:lang w:val="en-US" w:eastAsia="zh-CN"/>
              </w:rPr>
              <w:t>要求</w:t>
            </w:r>
          </w:p>
        </w:tc>
        <w:tc>
          <w:tcPr>
            <w:tcW w:w="3882" w:type="pct"/>
            <w:shd w:val="clear" w:color="auto" w:fill="auto"/>
            <w:vAlign w:val="center"/>
          </w:tcPr>
          <w:p w14:paraId="27CF636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总题库题量需在100万道以上，并可按月动态增加。其中住院医师规范化培训题库不少于100万道，执业医师题库不少于20万道。</w:t>
            </w:r>
          </w:p>
        </w:tc>
      </w:tr>
      <w:tr w14:paraId="3B214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3F39B2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2.1</w:t>
            </w:r>
          </w:p>
        </w:tc>
        <w:tc>
          <w:tcPr>
            <w:tcW w:w="688" w:type="pct"/>
            <w:shd w:val="clear" w:color="auto" w:fill="auto"/>
            <w:vAlign w:val="center"/>
          </w:tcPr>
          <w:p w14:paraId="6ED83F7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题型</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5A068A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支持A1(单项最佳选择题)，A2(病例摘要型最佳选择题)，A3/A4(病例组型最佳选择题)，B型题(标准配伍题)，X型题(</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baidu.com/s?wd=%E5%A4%9A%E9%A1%B9%E9%80%89%E6%8B%A9%E9%A2%98&amp;amp;tn=44039180_cpr&amp;amp;fenlei=mv6quAkxTZn0IZRqIHckPjm4nH00T1YkujbYn1TsmWf3uW63Pyw90ZwV5Hcvrjm3rH6sPfKWUMw85HfYnjn4nH6sgvPsT6KdThsqpZwYTjCEQLGCpyw9Uz4Bmy-bIi4WUvYETgN-TLwGUv3EPH6YnH0LPWR3njfdrHT3nWfd"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多项选择题</w:t>
            </w:r>
            <w:r>
              <w:rPr>
                <w:rFonts w:hint="eastAsia" w:ascii="宋体" w:hAnsi="宋体" w:eastAsia="宋体" w:cs="宋体"/>
                <w:bCs/>
                <w:color w:val="auto"/>
                <w:sz w:val="21"/>
                <w:szCs w:val="21"/>
                <w:highlight w:val="none"/>
              </w:rPr>
              <w:fldChar w:fldCharType="end"/>
            </w:r>
            <w:r>
              <w:rPr>
                <w:rFonts w:hint="eastAsia" w:ascii="宋体" w:hAnsi="宋体" w:eastAsia="宋体" w:cs="宋体"/>
                <w:bCs/>
                <w:color w:val="auto"/>
                <w:sz w:val="21"/>
                <w:szCs w:val="21"/>
                <w:highlight w:val="none"/>
              </w:rPr>
              <w:t>)，C型题(综合分析选择题)，填空题，判断题，简答题，名词解释题。</w:t>
            </w:r>
          </w:p>
        </w:tc>
      </w:tr>
      <w:tr w14:paraId="36429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1E8468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2.2</w:t>
            </w:r>
          </w:p>
        </w:tc>
        <w:tc>
          <w:tcPr>
            <w:tcW w:w="688" w:type="pct"/>
            <w:shd w:val="clear" w:color="auto" w:fill="auto"/>
            <w:vAlign w:val="center"/>
          </w:tcPr>
          <w:p w14:paraId="6E9C501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服务模式</w:t>
            </w:r>
          </w:p>
        </w:tc>
        <w:tc>
          <w:tcPr>
            <w:tcW w:w="3882" w:type="pct"/>
            <w:shd w:val="clear" w:color="auto" w:fill="auto"/>
            <w:vAlign w:val="center"/>
          </w:tcPr>
          <w:p w14:paraId="408C0C2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基于B/S框架结构，提供云服务，可供院内院外联网使用。</w:t>
            </w:r>
          </w:p>
          <w:p w14:paraId="6E6D6CB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服务性能：峰值并发处理能力1000个并发数以上，响应时间不超过5秒，支持1万人的同时联网运行。</w:t>
            </w:r>
          </w:p>
        </w:tc>
      </w:tr>
      <w:tr w14:paraId="4277B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B7CC69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2.3</w:t>
            </w:r>
          </w:p>
        </w:tc>
        <w:tc>
          <w:tcPr>
            <w:tcW w:w="688" w:type="pct"/>
            <w:shd w:val="clear" w:color="auto" w:fill="auto"/>
            <w:vAlign w:val="center"/>
          </w:tcPr>
          <w:p w14:paraId="70584D2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题库</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491D5D0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p>
        </w:tc>
      </w:tr>
      <w:tr w14:paraId="333D4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35795F7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2.3.1</w:t>
            </w:r>
          </w:p>
        </w:tc>
        <w:tc>
          <w:tcPr>
            <w:tcW w:w="688" w:type="pct"/>
            <w:shd w:val="clear" w:color="auto" w:fill="auto"/>
            <w:vAlign w:val="center"/>
          </w:tcPr>
          <w:p w14:paraId="7974D15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试题分布</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83BF22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需紧贴国家考试政策，严格按照每个题库国家考试要求进行分类，其中住培题库可细分至国家要求专业-国家要求轮转科室-国家要求各科室轮转中所需掌握的病种，全面满足医院住培考核的需要。</w:t>
            </w:r>
          </w:p>
        </w:tc>
      </w:tr>
      <w:tr w14:paraId="452BB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0887123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2.3.2</w:t>
            </w:r>
          </w:p>
        </w:tc>
        <w:tc>
          <w:tcPr>
            <w:tcW w:w="688" w:type="pct"/>
            <w:shd w:val="clear" w:color="auto" w:fill="auto"/>
            <w:vAlign w:val="center"/>
          </w:tcPr>
          <w:p w14:paraId="2624098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试题难度</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6E8E763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试题均需标注难度系数，难度分为简单、中等、较难三种，每种难度需标注难度系数，难度系数精确到小数点后两位,难度系数为服务根据答题情况自动动态修正。</w:t>
            </w:r>
          </w:p>
        </w:tc>
      </w:tr>
      <w:tr w14:paraId="00A6F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591C0F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2.3.3</w:t>
            </w:r>
          </w:p>
        </w:tc>
        <w:tc>
          <w:tcPr>
            <w:tcW w:w="688" w:type="pct"/>
            <w:shd w:val="clear" w:color="auto" w:fill="auto"/>
            <w:vAlign w:val="center"/>
          </w:tcPr>
          <w:p w14:paraId="3F91DE4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试题分类</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256976D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考试题、练习题、测试练习题、历年真题，严格按照每个题库下国家考试大纲要求分类，至少可细分至三级学科，其中测试练习题需提供西医住培34个专业和中医住培国家要求专业科室各自的测试练习试卷，每套试卷试题不低于200道。</w:t>
            </w:r>
          </w:p>
        </w:tc>
      </w:tr>
      <w:tr w14:paraId="7DB78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3E566B1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2.4</w:t>
            </w:r>
          </w:p>
        </w:tc>
        <w:tc>
          <w:tcPr>
            <w:tcW w:w="688" w:type="pct"/>
            <w:shd w:val="clear" w:color="auto" w:fill="auto"/>
            <w:vAlign w:val="center"/>
          </w:tcPr>
          <w:p w14:paraId="7961C07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防作弊功能</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417B4E6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考生在移动端考试屏幕无论因何种情况切换，均需输入验证码才可进行继续考试。</w:t>
            </w:r>
          </w:p>
        </w:tc>
      </w:tr>
      <w:tr w14:paraId="41CBA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3EF320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w:t>
            </w:r>
          </w:p>
        </w:tc>
        <w:tc>
          <w:tcPr>
            <w:tcW w:w="688" w:type="pct"/>
            <w:shd w:val="clear" w:color="auto" w:fill="auto"/>
            <w:vAlign w:val="center"/>
          </w:tcPr>
          <w:p w14:paraId="48ECD71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考生端</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0A0CBE5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为学习者提供日常练习、测试练习、历年真题、正式考试四位一体的考试服务。需包含考试，随机练习，章节练习，试题解析，模拟测验、错题重做、试题收藏、查找试题等功能；</w:t>
            </w:r>
          </w:p>
        </w:tc>
      </w:tr>
      <w:tr w14:paraId="3664C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8D9A14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2.5.1</w:t>
            </w:r>
          </w:p>
        </w:tc>
        <w:tc>
          <w:tcPr>
            <w:tcW w:w="688" w:type="pct"/>
            <w:shd w:val="clear" w:color="auto" w:fill="auto"/>
            <w:vAlign w:val="center"/>
          </w:tcPr>
          <w:p w14:paraId="1C3DE63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随机练习</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2DF9741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根据题型选择试题，满足多种维度练习的需求；</w:t>
            </w:r>
          </w:p>
        </w:tc>
      </w:tr>
      <w:tr w14:paraId="75627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0016846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2.5.2</w:t>
            </w:r>
          </w:p>
        </w:tc>
        <w:tc>
          <w:tcPr>
            <w:tcW w:w="688" w:type="pct"/>
            <w:shd w:val="clear" w:color="auto" w:fill="auto"/>
            <w:vAlign w:val="center"/>
          </w:tcPr>
          <w:p w14:paraId="655F978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模拟考试</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2222D8E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模拟真实考场环境，进行实战演练；教师端组卷后可适时发布，设定开考时间、注意事项、参考人员等信息，参考人员在开考后选择试卷进入考场，考场需具备后台监控功能，能实时监控考场考生答题情况，包括已考，未考，缺考等信息。</w:t>
            </w:r>
          </w:p>
        </w:tc>
      </w:tr>
      <w:tr w14:paraId="1BA0E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66DA59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2.5.3</w:t>
            </w:r>
          </w:p>
        </w:tc>
        <w:tc>
          <w:tcPr>
            <w:tcW w:w="688" w:type="pct"/>
            <w:shd w:val="clear" w:color="auto" w:fill="auto"/>
            <w:vAlign w:val="center"/>
          </w:tcPr>
          <w:p w14:paraId="5938D60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章节练习</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3C8AB1C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按学科章节组织试题，满足课前预习、课后同步练习的学习需要，让学习更有针对性；</w:t>
            </w:r>
          </w:p>
        </w:tc>
      </w:tr>
      <w:tr w14:paraId="7FC8F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33E64A6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2.5.4</w:t>
            </w:r>
          </w:p>
        </w:tc>
        <w:tc>
          <w:tcPr>
            <w:tcW w:w="688" w:type="pct"/>
            <w:shd w:val="clear" w:color="auto" w:fill="auto"/>
            <w:vAlign w:val="center"/>
          </w:tcPr>
          <w:p w14:paraId="17D259C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试题解析</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7281BF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疑点难点深入剖析，随时查看快速释疑，有效提升学习质量；</w:t>
            </w:r>
          </w:p>
          <w:p w14:paraId="28FCBB7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模拟测验：按学科组织试题，有针对性组织模拟测验，可自由选择测验时间；</w:t>
            </w:r>
          </w:p>
        </w:tc>
      </w:tr>
      <w:tr w14:paraId="49439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73D9D0A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2.5.5</w:t>
            </w:r>
          </w:p>
        </w:tc>
        <w:tc>
          <w:tcPr>
            <w:tcW w:w="688" w:type="pct"/>
            <w:shd w:val="clear" w:color="auto" w:fill="auto"/>
            <w:vAlign w:val="center"/>
          </w:tcPr>
          <w:p w14:paraId="658D2DA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试题查找</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60DD293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通过题干关键词模糊匹配，快速定位目标试题，提升学习效率。</w:t>
            </w:r>
          </w:p>
        </w:tc>
      </w:tr>
      <w:tr w14:paraId="43A81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265000A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w:t>
            </w:r>
          </w:p>
        </w:tc>
        <w:tc>
          <w:tcPr>
            <w:tcW w:w="688" w:type="pct"/>
            <w:shd w:val="clear" w:color="auto" w:fill="auto"/>
            <w:vAlign w:val="center"/>
          </w:tcPr>
          <w:p w14:paraId="47ADD7A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教师端</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5BADF0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p>
        </w:tc>
      </w:tr>
      <w:tr w14:paraId="1839C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7570293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2.6.1</w:t>
            </w:r>
          </w:p>
        </w:tc>
        <w:tc>
          <w:tcPr>
            <w:tcW w:w="688" w:type="pct"/>
            <w:shd w:val="clear" w:color="auto" w:fill="auto"/>
            <w:vAlign w:val="center"/>
          </w:tcPr>
          <w:p w14:paraId="4435531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试题管理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3CDCA78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支持医学考试常见题型A1、A2、A3\A4、B型、填空、判断、名词解释、问答题等批量导入或手工录入服务，可以添加、修改、删除、审核试题，自建题库；</w:t>
            </w:r>
          </w:p>
        </w:tc>
      </w:tr>
      <w:tr w14:paraId="6DEED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0DC848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2.6.2</w:t>
            </w:r>
          </w:p>
        </w:tc>
        <w:tc>
          <w:tcPr>
            <w:tcW w:w="688" w:type="pct"/>
            <w:shd w:val="clear" w:color="auto" w:fill="auto"/>
            <w:vAlign w:val="center"/>
          </w:tcPr>
          <w:p w14:paraId="1F5FE12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考试管理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67569D4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支持手动组卷、自动组卷、以卷组卷、智能组卷、条件库、精品试卷库，同时创建考务信息，组织试卷至少包含考试类型（正式考试、同步练习）、考试名称、考试截止时间、考试用时、考试对象（可分类选择、也可精确到具体人员）、及格分数、打印准考证、成绩公布、考试提示等信息；按知识点或题型组卷，可跨题库，跨学科、跨专业组卷，操作简单灵活；抽题逻辑缜密，可设置一定时间内试题不被重复抽取，避免考题重复；试卷乱序可将试卷题序打乱，有效防止作弊；支持试卷预览，可输出试卷至word（分为有答案版、无答案版），可进行个性化编辑，全面满足组卷需求；打印试卷；复制席卷；可随时添加和删除参考人员。</w:t>
            </w:r>
          </w:p>
        </w:tc>
      </w:tr>
      <w:tr w14:paraId="56095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7377B5F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2.6.3</w:t>
            </w:r>
          </w:p>
        </w:tc>
        <w:tc>
          <w:tcPr>
            <w:tcW w:w="688" w:type="pct"/>
            <w:shd w:val="clear" w:color="auto" w:fill="auto"/>
            <w:vAlign w:val="center"/>
          </w:tcPr>
          <w:p w14:paraId="69B8653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成绩管理</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6D30002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考试结束后，对成绩汇总；成绩导入，线下考试成绩导入到考试服务中，可对考试成绩进行统一管理，并可控制成绩发布的时间。</w:t>
            </w:r>
          </w:p>
        </w:tc>
      </w:tr>
      <w:tr w14:paraId="7EBEF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28A6F6B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2.6.4</w:t>
            </w:r>
          </w:p>
        </w:tc>
        <w:tc>
          <w:tcPr>
            <w:tcW w:w="688" w:type="pct"/>
            <w:shd w:val="clear" w:color="auto" w:fill="auto"/>
            <w:vAlign w:val="center"/>
          </w:tcPr>
          <w:p w14:paraId="6F64279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统计分析</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CD8CC9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包含按题型作答正确率分析、按年级/专业/科室等综合分析、按成绩区间分布分析、按试题分析，其中题型正确率分析、人员分析、平均分分析、知识点分析提供直观图像分析。每份试卷均可查看每个考生的详细答题记录、可对整体试卷或某一考生成绩进行分析、可整体导出试卷成绩、可整体导出考试分析、查看缺考人员。</w:t>
            </w:r>
          </w:p>
        </w:tc>
      </w:tr>
      <w:tr w14:paraId="16E3D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592219C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688" w:type="pct"/>
            <w:shd w:val="clear" w:color="auto" w:fill="auto"/>
            <w:vAlign w:val="center"/>
          </w:tcPr>
          <w:p w14:paraId="6472A2B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lang w:val="en-US" w:eastAsia="zh-CN"/>
              </w:rPr>
              <w:t>实现</w:t>
            </w:r>
            <w:r>
              <w:rPr>
                <w:rFonts w:hint="eastAsia" w:ascii="宋体" w:hAnsi="宋体" w:eastAsia="宋体" w:cs="宋体"/>
                <w:bCs/>
                <w:color w:val="auto"/>
                <w:sz w:val="21"/>
                <w:szCs w:val="21"/>
                <w:highlight w:val="none"/>
              </w:rPr>
              <w:t>综合评估服务</w:t>
            </w:r>
            <w:r>
              <w:rPr>
                <w:rFonts w:hint="eastAsia" w:ascii="宋体" w:hAnsi="宋体" w:eastAsia="宋体" w:cs="宋体"/>
                <w:bCs/>
                <w:color w:val="auto"/>
                <w:sz w:val="21"/>
                <w:szCs w:val="21"/>
                <w:highlight w:val="none"/>
                <w:lang w:val="en-US" w:eastAsia="zh-CN"/>
              </w:rPr>
              <w:t>要求</w:t>
            </w:r>
          </w:p>
        </w:tc>
        <w:tc>
          <w:tcPr>
            <w:tcW w:w="3882" w:type="pct"/>
            <w:shd w:val="clear" w:color="auto" w:fill="auto"/>
            <w:vAlign w:val="center"/>
          </w:tcPr>
          <w:p w14:paraId="47D71BD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服务需根据国家对临床教学评价相关要求设计开发，评估项目保证规范、专业。带教老师评价教学对象、护理人员评价教学对象、教学对象评价带教老师等综合评价，管理员可自行设定评估时间和相关指标调整。教学对象评价专业基地或学科，每年或每半年一次，管理员后台发起评价和设置评价时间。带教老师评价教学对象：一般由分配的带教老师进行评价，如有其他情况，可由科秘设置评价人。</w:t>
            </w:r>
          </w:p>
          <w:p w14:paraId="5B02C3E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护理人员评价教学对象：一般由护士长进行评价，如有其他情况，可由科秘设置评价人。</w:t>
            </w:r>
          </w:p>
          <w:p w14:paraId="106A643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根据专业基地或学科评价完成率，判断综合评价工作达标情况。</w:t>
            </w:r>
          </w:p>
          <w:p w14:paraId="61FF599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right="0" w:firstLine="0" w:firstLineChars="0"/>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专业基地负责人可随时查看不合格评价，做出相关调整。</w:t>
            </w:r>
          </w:p>
          <w:p w14:paraId="135ABF0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对所有评价数据进行加密，防止泄露。</w:t>
            </w:r>
          </w:p>
        </w:tc>
      </w:tr>
      <w:tr w14:paraId="2393D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3F041C9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3.1</w:t>
            </w:r>
          </w:p>
        </w:tc>
        <w:tc>
          <w:tcPr>
            <w:tcW w:w="688" w:type="pct"/>
            <w:shd w:val="clear" w:color="auto" w:fill="auto"/>
            <w:vAlign w:val="center"/>
          </w:tcPr>
          <w:p w14:paraId="29A5ECD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带教老师评价教学对象</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5B71AD4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每次教学对象轮转以后带教老师应该根据教学对象的临床工作能力，知识水平，工作态度，交流能力，团队精神，医德医风，学习态度等进行评估。带教老师对教学对象的评估应该在轮转之后让教学对象马上看到，并且作为出科考核的内容。</w:t>
            </w:r>
          </w:p>
        </w:tc>
      </w:tr>
      <w:tr w14:paraId="52EBCF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118BE35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3.2</w:t>
            </w:r>
          </w:p>
        </w:tc>
        <w:tc>
          <w:tcPr>
            <w:tcW w:w="688" w:type="pct"/>
            <w:shd w:val="clear" w:color="auto" w:fill="auto"/>
            <w:vAlign w:val="center"/>
          </w:tcPr>
          <w:p w14:paraId="19CEB7E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护理人员评价教学对象</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01FC088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护士负责人员应该对轮转过的住院医师的合作精神，职业素养，专业道德等方面进行评估。</w:t>
            </w:r>
          </w:p>
        </w:tc>
      </w:tr>
      <w:tr w14:paraId="45843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0848FFF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3.3</w:t>
            </w:r>
          </w:p>
        </w:tc>
        <w:tc>
          <w:tcPr>
            <w:tcW w:w="688" w:type="pct"/>
            <w:shd w:val="clear" w:color="auto" w:fill="auto"/>
            <w:vAlign w:val="center"/>
          </w:tcPr>
          <w:p w14:paraId="656F7B0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教学对象评价带教老师</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7B4E02C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每次教学对象轮转以后，教学对象应对带教老师的教学热情，时间投入，临床教学能力和医患交流技巧，以及培养教学对象循证医学思维，临床路径使用和独立工作能力等方面进行评估。教学对象评估带教老师是匿名的，即带教老师不知道谁进行的评估。为确保评估人的匿名，带教老师在轮转以后不应该马上收到教学对象的评估。评估结果至少每半年或定期汇总给带教老师。</w:t>
            </w:r>
          </w:p>
        </w:tc>
      </w:tr>
      <w:tr w14:paraId="7E466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auto"/>
            <w:vAlign w:val="center"/>
          </w:tcPr>
          <w:p w14:paraId="431297B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3.4</w:t>
            </w:r>
          </w:p>
        </w:tc>
        <w:tc>
          <w:tcPr>
            <w:tcW w:w="688" w:type="pct"/>
            <w:shd w:val="clear" w:color="auto" w:fill="auto"/>
            <w:vAlign w:val="center"/>
          </w:tcPr>
          <w:p w14:paraId="7AE51EC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教学对象评价专业基地或学科</w:t>
            </w:r>
            <w:r>
              <w:rPr>
                <w:rFonts w:hint="eastAsia" w:ascii="宋体" w:hAnsi="宋体" w:eastAsia="宋体" w:cs="宋体"/>
                <w:bCs/>
                <w:sz w:val="21"/>
                <w:szCs w:val="21"/>
                <w:highlight w:val="none"/>
                <w:lang w:val="en-US" w:eastAsia="zh-CN"/>
              </w:rPr>
              <w:t>服务</w:t>
            </w:r>
          </w:p>
        </w:tc>
        <w:tc>
          <w:tcPr>
            <w:tcW w:w="3882" w:type="pct"/>
            <w:shd w:val="clear" w:color="auto" w:fill="auto"/>
            <w:vAlign w:val="center"/>
          </w:tcPr>
          <w:p w14:paraId="440E14B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sz w:val="21"/>
                <w:szCs w:val="21"/>
                <w:highlight w:val="none"/>
              </w:rPr>
              <w:t>基地的教学对象应该每年对自己所在基地的培训情况评估一次。</w:t>
            </w:r>
          </w:p>
        </w:tc>
      </w:tr>
      <w:tr w14:paraId="5385A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FFFFFF" w:themeFill="background1"/>
            <w:vAlign w:val="center"/>
          </w:tcPr>
          <w:p w14:paraId="5C605DC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688" w:type="pct"/>
            <w:shd w:val="clear" w:color="auto" w:fill="FFFFFF" w:themeFill="background1"/>
            <w:vAlign w:val="center"/>
          </w:tcPr>
          <w:p w14:paraId="7094290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实现在线培训服务要求</w:t>
            </w:r>
          </w:p>
        </w:tc>
        <w:tc>
          <w:tcPr>
            <w:tcW w:w="3882" w:type="pct"/>
            <w:shd w:val="clear" w:color="auto" w:fill="FFFFFF" w:themeFill="background1"/>
            <w:vAlign w:val="center"/>
          </w:tcPr>
          <w:p w14:paraId="10F0026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提供在线培训与直播的平台服务，培训平台与直播平台需采用一套架构。</w:t>
            </w:r>
          </w:p>
          <w:p w14:paraId="3D6A0E5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系统包含直播与点播功能，直播的内容可直接转化为回放，供培训使用。</w:t>
            </w:r>
          </w:p>
          <w:p w14:paraId="0F2CBA01">
            <w:pPr>
              <w:pStyle w:val="8"/>
              <w:keepNext w:val="0"/>
              <w:keepLines w:val="0"/>
              <w:widowControl/>
              <w:suppressLineNumbers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提供给本机构的视频存储空间不少于</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0</w:t>
            </w:r>
            <w:r>
              <w:rPr>
                <w:rFonts w:hint="eastAsia" w:ascii="宋体" w:hAnsi="宋体" w:eastAsia="宋体" w:cs="宋体"/>
                <w:bCs/>
                <w:color w:val="auto"/>
                <w:sz w:val="21"/>
                <w:szCs w:val="21"/>
                <w:highlight w:val="none"/>
                <w:lang w:val="en-US" w:eastAsia="zh-CN"/>
              </w:rPr>
              <w:t>0</w:t>
            </w:r>
            <w:r>
              <w:rPr>
                <w:rFonts w:hint="eastAsia" w:ascii="宋体" w:hAnsi="宋体" w:eastAsia="宋体" w:cs="宋体"/>
                <w:bCs/>
                <w:color w:val="auto"/>
                <w:sz w:val="21"/>
                <w:szCs w:val="21"/>
                <w:highlight w:val="none"/>
              </w:rPr>
              <w:t>0G</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lang w:val="en-US" w:eastAsia="zh-CN"/>
              </w:rPr>
              <w:t>视频观看时长不少于</w:t>
            </w:r>
            <w:r>
              <w:rPr>
                <w:rFonts w:hint="eastAsia" w:ascii="宋体" w:hAnsi="宋体" w:eastAsia="宋体" w:cs="宋体"/>
                <w:bCs/>
                <w:color w:val="auto"/>
                <w:sz w:val="21"/>
                <w:szCs w:val="21"/>
                <w:highlight w:val="none"/>
              </w:rPr>
              <w:t>4500小时直播或15000小时点播时长</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提供不少于100节毕业后医学教育培训课程，应为（毕业后教育师资培训、毕业后教育医师培训、医学继续教育、医学应试教育课程）。</w:t>
            </w:r>
          </w:p>
          <w:p w14:paraId="2D883A1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 系统属于B/S框架结构；通过互联网访问即可学习和上课使用，支持pc端与移动端使用。</w:t>
            </w:r>
          </w:p>
          <w:p w14:paraId="2F6A172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所投产品提供国家版权局出具的相关计算机软件著作权登记证书。</w:t>
            </w:r>
          </w:p>
          <w:p w14:paraId="601C850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 系统具有良好的扩展性，提供软件级别的垂直扩展和水平扩展开发服务，支持</w:t>
            </w:r>
            <w:r>
              <w:rPr>
                <w:rFonts w:hint="eastAsia" w:ascii="宋体" w:hAnsi="宋体" w:eastAsia="宋体" w:cs="宋体"/>
                <w:bCs/>
                <w:color w:val="auto"/>
                <w:sz w:val="21"/>
                <w:szCs w:val="21"/>
                <w:highlight w:val="none"/>
                <w:lang w:val="en-US" w:eastAsia="zh-CN"/>
              </w:rPr>
              <w:t>适配性</w:t>
            </w:r>
            <w:r>
              <w:rPr>
                <w:rFonts w:hint="eastAsia" w:ascii="宋体" w:hAnsi="宋体" w:eastAsia="宋体" w:cs="宋体"/>
                <w:bCs/>
                <w:color w:val="auto"/>
                <w:sz w:val="21"/>
                <w:szCs w:val="21"/>
                <w:highlight w:val="none"/>
              </w:rPr>
              <w:t>开发。</w:t>
            </w:r>
          </w:p>
          <w:p w14:paraId="2278315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 系统提供高可用性，保证平台7*24小时的运行。</w:t>
            </w:r>
          </w:p>
          <w:p w14:paraId="43CFC06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 系统提供高稳定性，保证在数据量或应用连接数高峰运行时的系统运行正常，保障持久化的系统运行。</w:t>
            </w:r>
          </w:p>
        </w:tc>
      </w:tr>
      <w:tr w14:paraId="119CB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FFFFFF" w:themeFill="background1"/>
            <w:vAlign w:val="center"/>
          </w:tcPr>
          <w:p w14:paraId="76D8E3D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4.1</w:t>
            </w:r>
          </w:p>
        </w:tc>
        <w:tc>
          <w:tcPr>
            <w:tcW w:w="688" w:type="pct"/>
            <w:shd w:val="clear" w:color="auto" w:fill="FFFFFF" w:themeFill="background1"/>
            <w:vAlign w:val="center"/>
          </w:tcPr>
          <w:p w14:paraId="24FDB7E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学员功能</w:t>
            </w:r>
            <w:r>
              <w:rPr>
                <w:rFonts w:hint="eastAsia" w:ascii="宋体" w:hAnsi="宋体" w:eastAsia="宋体" w:cs="宋体"/>
                <w:bCs/>
                <w:sz w:val="21"/>
                <w:szCs w:val="21"/>
                <w:highlight w:val="none"/>
                <w:lang w:val="en-US" w:eastAsia="zh-CN"/>
              </w:rPr>
              <w:t>服务</w:t>
            </w:r>
          </w:p>
        </w:tc>
        <w:tc>
          <w:tcPr>
            <w:tcW w:w="3882" w:type="pct"/>
            <w:shd w:val="clear" w:color="auto" w:fill="FFFFFF" w:themeFill="background1"/>
            <w:vAlign w:val="center"/>
          </w:tcPr>
          <w:p w14:paraId="66314EA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1.1平台能够提供两种学习模式，第一，本机构统一购买或上传视频，组建课程，学员可以免费使用。第二，学员可以自主购买平台上不同类型的培训，自行学习。</w:t>
            </w:r>
          </w:p>
          <w:p w14:paraId="5AA6541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 机构培训：学员可在所属机构下，按指定要求参加机构组建的培训项目。不同学科、不同身份、不同年资、不同类别的学员可学习指定的培训项目。培训项目下能够显示课程的数量，课时时长。培训项目与考试、调查问卷连通，学员能够在项目下参与考试与调研。</w:t>
            </w:r>
          </w:p>
          <w:p w14:paraId="6B166BBB">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 点播课程：点播课程分为本院课程与授权课程，本院课程为本机构自主创建的课程，授权课程为</w:t>
            </w:r>
            <w:r>
              <w:rPr>
                <w:rFonts w:hint="eastAsia" w:ascii="宋体" w:hAnsi="宋体" w:eastAsia="宋体" w:cs="宋体"/>
                <w:bCs/>
                <w:color w:val="auto"/>
                <w:sz w:val="21"/>
                <w:szCs w:val="21"/>
                <w:highlight w:val="none"/>
                <w:lang w:val="en-US" w:eastAsia="zh-CN"/>
              </w:rPr>
              <w:t>系统平台</w:t>
            </w:r>
            <w:r>
              <w:rPr>
                <w:rFonts w:hint="eastAsia" w:ascii="宋体" w:hAnsi="宋体" w:eastAsia="宋体" w:cs="宋体"/>
                <w:bCs/>
                <w:color w:val="auto"/>
                <w:sz w:val="21"/>
                <w:szCs w:val="21"/>
                <w:highlight w:val="none"/>
              </w:rPr>
              <w:t>提供的授权课程。课程显示对应的课件、讲师与课程介绍，课件类型支持视频与PDF两类，学员能够在课程上参与练习与调研。课程具有笔记功能。</w:t>
            </w:r>
          </w:p>
          <w:p w14:paraId="7D50A52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 视频播放：视频播放能够显示视频时长与学习时长。视频支持暂停、全屏。支持调节音量大小。视频支持全屏/横屏观看。退出时自动记录学习位置，再次学习时可跳转到上次退出位置。</w:t>
            </w:r>
          </w:p>
          <w:p w14:paraId="356476D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 直播课程：直播支持按时间进行查看。学员观看直播可以记录观看时长，在线聊天并响应授课老师的打卡、随堂测、问卷等。</w:t>
            </w:r>
          </w:p>
          <w:p w14:paraId="2606647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1.6个人中心：平台具有个人中心功能，包括机构切换、个人信息、机构培训、机构课程、我的笔记、我的证书、我的订单等。</w:t>
            </w:r>
          </w:p>
          <w:p w14:paraId="01EB8F8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机构切换：可以显示多机构，多机构用户可以自行切换机构。</w:t>
            </w:r>
          </w:p>
          <w:p w14:paraId="43028DB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个人信息：能够查看个人基本信息。</w:t>
            </w:r>
          </w:p>
          <w:p w14:paraId="4095554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机构培训：学员参与的全部培训项目的记录，项目记录项目名称、项目时间、项目状态、项目时长、学习时长等信息，有详细的学习日志及成绩记录。成绩记录包含资源名称、考试类型、考试名称、最高成绩、交卷次数等。</w:t>
            </w:r>
          </w:p>
          <w:p w14:paraId="46D6775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 机构课程：分为直播课程，点播课程两类，包括课程名称、学习直播/点播的时间等。有课程练习的，显示练习成绩。</w:t>
            </w:r>
          </w:p>
          <w:p w14:paraId="0F6C594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我的笔记：分为培训笔记、课程笔记、资源笔记三部分，支持查看、编辑笔记内容，支持导出记录的笔记。</w:t>
            </w:r>
          </w:p>
          <w:p w14:paraId="5F5166B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 我的证书：学员可以查看自己在平台获取的所有证书，支持下载打印。</w:t>
            </w:r>
          </w:p>
          <w:p w14:paraId="47C728C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 我的订单：学员可以查看自己在平台的购买记录，包括资源名称、价格、下单时间、订单状态。支持订单开具发票的功能。</w:t>
            </w:r>
          </w:p>
          <w:p w14:paraId="516CF67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 个人培训：学员可以查看自主购买参与的培训项目。</w:t>
            </w:r>
          </w:p>
          <w:p w14:paraId="6E0BD918">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p>
        </w:tc>
      </w:tr>
      <w:tr w14:paraId="2F6E0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0" w:type="dxa"/>
            <w:left w:w="108" w:type="dxa"/>
            <w:bottom w:w="0" w:type="dxa"/>
            <w:right w:w="108" w:type="dxa"/>
          </w:tblCellMar>
        </w:tblPrEx>
        <w:trPr>
          <w:trHeight w:val="320" w:hRule="atLeast"/>
        </w:trPr>
        <w:tc>
          <w:tcPr>
            <w:tcW w:w="428" w:type="pct"/>
            <w:shd w:val="clear" w:color="auto" w:fill="FFFFFF" w:themeFill="background1"/>
            <w:vAlign w:val="center"/>
          </w:tcPr>
          <w:p w14:paraId="2B2E5C9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4.2</w:t>
            </w:r>
          </w:p>
        </w:tc>
        <w:tc>
          <w:tcPr>
            <w:tcW w:w="688" w:type="pct"/>
            <w:shd w:val="clear" w:color="auto" w:fill="FFFFFF" w:themeFill="background1"/>
            <w:vAlign w:val="center"/>
          </w:tcPr>
          <w:p w14:paraId="680D337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管理功能</w:t>
            </w:r>
            <w:r>
              <w:rPr>
                <w:rFonts w:hint="eastAsia" w:ascii="宋体" w:hAnsi="宋体" w:eastAsia="宋体" w:cs="宋体"/>
                <w:bCs/>
                <w:sz w:val="21"/>
                <w:szCs w:val="21"/>
                <w:highlight w:val="none"/>
                <w:lang w:val="en-US" w:eastAsia="zh-CN"/>
              </w:rPr>
              <w:t>服务</w:t>
            </w:r>
          </w:p>
        </w:tc>
        <w:tc>
          <w:tcPr>
            <w:tcW w:w="3882" w:type="pct"/>
            <w:shd w:val="clear" w:color="auto" w:fill="FFFFFF" w:themeFill="background1"/>
            <w:vAlign w:val="center"/>
          </w:tcPr>
          <w:p w14:paraId="405EE4A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 视频管理：管理员能够自行上传视频，用于本机构培训学习。本机构上传的视频，不经本机构允许，其他机构不能查看、使用。</w:t>
            </w:r>
          </w:p>
          <w:p w14:paraId="2ED2336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 培训管理：管理员能够选择自建课程和授权课程组建培训项目。并从基本设置、指定参培人员、问卷考试、培训规则、证书设置等功能进行管理。</w:t>
            </w:r>
          </w:p>
          <w:p w14:paraId="0B74797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基本设置：可以设置培训名称、培训分类、起止日期、培训介绍、选择课程、指定封面等。封面支持系统图片库选择，支持将培训名称合成到封面上。可以编辑、删除培训。</w:t>
            </w:r>
          </w:p>
          <w:p w14:paraId="1C40458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指定参培人员：全院参培、指定参培人员两种方式；指定参培人员可以添加参培人员，支持根据部门、人员类型、参培专业、参培年份等进行筛选，也可以直接导入参培人员信息。</w:t>
            </w:r>
          </w:p>
          <w:p w14:paraId="253B882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问卷考试：可以对培训添加问卷及考试。考试支持指定考试时间与人员类型，可以设置练习与考试次数。</w:t>
            </w:r>
          </w:p>
          <w:p w14:paraId="3BEF574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培训规则：支持是否允许拖动、是否允许倍速，课程学习周期、考试要求、问卷要求进行设置。培训中可以设置防挂机、防多开等反作弊功能。支持培训前先阅读培训须知。支持不同的成绩显示方式，显示分数、通过/不通过等。</w:t>
            </w:r>
          </w:p>
          <w:p w14:paraId="09710E1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证书设置：可以为培训设置自定义样式的证书，为通过培训的学员发放培训证书，支持机构批量导出培训证书，留档备查。</w:t>
            </w:r>
          </w:p>
          <w:p w14:paraId="2ABC9D5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 点播课程：管理员可以通过视频资源管理中的视频和上传的PDF组建点播课程，管理员可以编辑、上下架、删除课程。</w:t>
            </w:r>
          </w:p>
          <w:p w14:paraId="3E6C0DC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基本设置：包括课程名称、选择专业、课程封面，支持自动生成封面、课程问卷、课程练习、授课讲师、课程简介、课程详情等。</w:t>
            </w:r>
          </w:p>
          <w:p w14:paraId="3E336097">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课件管理：支持视频、PDF格式，可以设置课件名称。可实现编辑、删除、上移、下移课件。视频课件自动匹配视频时长。</w:t>
            </w:r>
          </w:p>
          <w:p w14:paraId="50EBDED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学习记录：学习记录模块可以查看单个点播课程的课件数量、点播时长、学习人数、练习人数等统计信息。还可以查看每个学员点播、PDF、练习情况等详细信息。</w:t>
            </w:r>
          </w:p>
          <w:p w14:paraId="79383C1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 直播课程：管理员可以创建直播课程并通过直播的方式进行授课。直播支持如下功能。</w:t>
            </w:r>
          </w:p>
          <w:p w14:paraId="349A3F5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基本设置：包括直播名称、选择分类、直播起止时间、授课讲师，直播封面，支持自动生成直播封面，支持自动直播完自动回放功能。</w:t>
            </w:r>
          </w:p>
          <w:p w14:paraId="6721F25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直播设置：直播支持教学模式与会议模式两种模式，支持多讲师同时授课，支持300人同时参加直播学习。直播过程中支持助教辅助管理直播功能。</w:t>
            </w:r>
          </w:p>
          <w:p w14:paraId="71130D1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直播记录：可提供数据统计分析，包括但不局限于直播时长、观看人数、端别（手机与pc）分布、最大在线人数、观看时长、进入时间、离开时间、进出次数等信息可以导出。</w:t>
            </w:r>
          </w:p>
          <w:p w14:paraId="3CD4D2B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 直播功能：提供签到、问卷调查、广播、公告等管理功能；平台支持人像端与课件端分离，学员可以选择放大缩小。</w:t>
            </w:r>
          </w:p>
          <w:p w14:paraId="1F4FC7A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 互动功能：支持聊天功能，管理员可以选择放开聊天、关闭聊天。聊天信息可实现审核后再发布。</w:t>
            </w:r>
          </w:p>
          <w:p w14:paraId="09289C89">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 直播日历：可以通过日历形式，查看机构全部的直播排期，便于管理员进行直播的协调管理。支持按月查看往期的直播排期。</w:t>
            </w:r>
          </w:p>
          <w:p w14:paraId="160F1B02">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 题库管理：题库支持多层分类，支持A1、A2、A3/A4、B、C、X型题、不定项选择题、填空题、判断题、问答题、简答题、名词解释题、案例分析题等10多种题型。包括新增试题、题库审核、题库管理等功能。</w:t>
            </w:r>
          </w:p>
          <w:p w14:paraId="65E99E2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新增试题：支持文件导入、批量录入、手动录入等多种试题录入方式，其中文件导入支持txt和excel导入。</w:t>
            </w:r>
          </w:p>
          <w:p w14:paraId="35B5A38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题库审核：试题录入后，需要进行对试题进行审核，以核定试题正误和保障试题质量，所有新录入和有修改的试题都需要进行审核。</w:t>
            </w:r>
          </w:p>
          <w:p w14:paraId="0FF8FB50">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题库管理：题库管理支持试题的增、删、改、查及试题分类标签的管理。</w:t>
            </w:r>
          </w:p>
          <w:p w14:paraId="43750EB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 考试管理：包括新建考试、试卷库、考试列表等功能。</w:t>
            </w:r>
          </w:p>
          <w:p w14:paraId="16023AE1">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新建考试：创建考试拥有多种模式，可以使用已有试卷创建，也可以直接创建。直接创建考试支持手动组卷、以卷组卷等多种方式。</w:t>
            </w:r>
          </w:p>
          <w:p w14:paraId="103E36D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试卷库：试卷库存储已经创建和使用过的试卷，可供创建考试使用，在试卷库可管理试卷分类，对试卷进行管理（查询、创建、删除、预览、编辑）。</w:t>
            </w:r>
          </w:p>
          <w:p w14:paraId="67F6A26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考试列表：考试创建后需要进行审核，审核后可以使用，可以关联至学习资源上进行使用。考试支持水印、主观题自动评分、查看答题记录等功能。</w:t>
            </w:r>
          </w:p>
          <w:p w14:paraId="5302EE8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 统计信息：包括点播统计、直播统计等，列表数据支持导出功能。</w:t>
            </w:r>
          </w:p>
          <w:p w14:paraId="3CAEBFA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点播统计：包含点播概况与点播数据汇总。点播数据汇总包含课程名称、课程分类、课程讲师、创建人、创建人部门、创建时间、学习人数等信息。</w:t>
            </w:r>
          </w:p>
          <w:p w14:paraId="672B986D">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直播统计：包含直播概况与直播数据汇总。直播数据汇总包含课程名称、课程分类、起止时间、直播讲师、创建人、创建人部门、直播总时长、学习人数、打卡次数等信息。</w:t>
            </w:r>
          </w:p>
          <w:p w14:paraId="6D54046F">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培训统计：包含培训概况与培训明细汇总。培训明细可以通过姓名、手机号、培训名称、学习周期等维度汇总数据，支持对培训数据进行导出。</w:t>
            </w:r>
          </w:p>
          <w:p w14:paraId="082D887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 讲师管理：包括新增讲师和同步讲师两种增加方式。同步讲师可以将用户管理中，具有教师身份的用户同步至讲师管理。也可以通过新建讲师的方式创建讲师。可以编辑与删除讲师信息。讲师包括头像、单位、简介等信息。讲师可以关联至学习资源，学员端学习时可以查看。</w:t>
            </w:r>
          </w:p>
          <w:p w14:paraId="1B6BE674">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 用户管理：包括普通用户、管理员管理等功能。</w:t>
            </w:r>
          </w:p>
          <w:p w14:paraId="154E987C">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 普通用户管理：可以新增用户、查找用户、查看用户信息、对用户进行修改编辑等操作。</w:t>
            </w:r>
          </w:p>
          <w:p w14:paraId="19CC152A">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 管理员管理：可以对普通用户增加管理员功能。支持自定义角色，对角色分配不同的功能模块，满足个性化的管理需求。</w:t>
            </w:r>
          </w:p>
          <w:p w14:paraId="4E07B463">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2.10 部门管理：可以新增医院科室、管理科室信息。</w:t>
            </w:r>
          </w:p>
          <w:p w14:paraId="243CB51E">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2.11数据同步：可对多个系统实现数据同步功能。</w:t>
            </w:r>
          </w:p>
          <w:p w14:paraId="5C94E5A6">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（1）与住培系统实现培训数据、培训证书同步。</w:t>
            </w:r>
          </w:p>
        </w:tc>
      </w:tr>
    </w:tbl>
    <w:p w14:paraId="0BA763B5">
      <w:pPr>
        <w:pStyle w:val="4"/>
        <w:keepNext w:val="0"/>
        <w:keepLines w:val="0"/>
        <w:pageBreakBefore w:val="0"/>
        <w:widowControl/>
        <w:suppressLineNumbers w:val="0"/>
        <w:kinsoku/>
        <w:wordWrap/>
        <w:overflowPunct/>
        <w:topLinePunct w:val="0"/>
        <w:autoSpaceDE/>
        <w:autoSpaceDN/>
        <w:bidi w:val="0"/>
        <w:adjustRightInd/>
        <w:spacing w:before="0" w:beforeAutospacing="0" w:after="0" w:afterAutospacing="0" w:line="360" w:lineRule="auto"/>
        <w:ind w:left="0" w:leftChars="0" w:right="0" w:rightChars="0" w:firstLine="0" w:firstLineChars="0"/>
        <w:textAlignment w:val="auto"/>
        <w:rPr>
          <w:rFonts w:hint="eastAsia" w:asciiTheme="minorEastAsia" w:hAnsiTheme="minorEastAsia" w:eastAsiaTheme="minorEastAsia" w:cstheme="minorEastAsia"/>
          <w:bCs/>
          <w:color w:val="auto"/>
          <w:sz w:val="24"/>
          <w:szCs w:val="24"/>
          <w:highlight w:val="none"/>
        </w:rPr>
      </w:pPr>
    </w:p>
    <w:p w14:paraId="471ADCAF">
      <w:pPr>
        <w:pStyle w:val="12"/>
        <w:keepNext w:val="0"/>
        <w:keepLines w:val="0"/>
        <w:pageBreakBefore w:val="0"/>
        <w:kinsoku/>
        <w:wordWrap/>
        <w:overflowPunct/>
        <w:topLinePunct w:val="0"/>
        <w:autoSpaceDE/>
        <w:autoSpaceDN/>
        <w:bidi w:val="0"/>
        <w:adjustRightInd/>
        <w:spacing w:line="360" w:lineRule="auto"/>
        <w:ind w:firstLine="0" w:firstLineChars="0"/>
        <w:textAlignment w:val="auto"/>
        <w:rPr>
          <w:rFonts w:hint="default" w:ascii="仿宋" w:hAnsi="仿宋" w:eastAsia="仿宋"/>
          <w:b/>
          <w:szCs w:val="24"/>
          <w:highlight w:val="none"/>
          <w:lang w:val="en-US" w:eastAsia="zh-CN"/>
        </w:rPr>
      </w:pPr>
      <w:r>
        <w:rPr>
          <w:rFonts w:ascii="仿宋" w:hAnsi="仿宋" w:eastAsia="仿宋" w:cs="Arial"/>
          <w:b/>
          <w:szCs w:val="24"/>
          <w:highlight w:val="none"/>
        </w:rPr>
        <w:t>2、</w:t>
      </w:r>
      <w:r>
        <w:rPr>
          <w:rFonts w:hint="eastAsia" w:ascii="仿宋" w:hAnsi="仿宋" w:eastAsia="仿宋" w:cs="Arial"/>
          <w:b/>
          <w:szCs w:val="24"/>
          <w:highlight w:val="none"/>
          <w:lang w:val="en-US" w:eastAsia="zh-CN"/>
        </w:rPr>
        <w:t>投标人要求</w:t>
      </w:r>
    </w:p>
    <w:p w14:paraId="4F29850E">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投标人拟派项目组，需包含</w:t>
      </w:r>
      <w:r>
        <w:rPr>
          <w:rFonts w:hint="eastAsia" w:ascii="仿宋" w:hAnsi="仿宋" w:eastAsia="仿宋" w:cs="仿宋"/>
          <w:sz w:val="24"/>
          <w:szCs w:val="24"/>
          <w:highlight w:val="none"/>
          <w:u w:val="single"/>
          <w:lang w:val="en-US" w:eastAsia="zh-CN"/>
        </w:rPr>
        <w:t xml:space="preserve"> 1 </w:t>
      </w:r>
      <w:r>
        <w:rPr>
          <w:rFonts w:hint="eastAsia" w:ascii="仿宋" w:hAnsi="仿宋" w:eastAsia="仿宋" w:cs="仿宋"/>
          <w:sz w:val="24"/>
          <w:szCs w:val="24"/>
          <w:highlight w:val="none"/>
        </w:rPr>
        <w:t>名项目经理和</w:t>
      </w:r>
      <w:r>
        <w:rPr>
          <w:rFonts w:hint="eastAsia" w:ascii="仿宋" w:hAnsi="仿宋" w:eastAsia="仿宋" w:cs="仿宋"/>
          <w:sz w:val="24"/>
          <w:szCs w:val="24"/>
          <w:highlight w:val="none"/>
          <w:u w:val="single"/>
          <w:lang w:val="en-US" w:eastAsia="zh-CN"/>
        </w:rPr>
        <w:t xml:space="preserve"> 1 </w:t>
      </w:r>
      <w:r>
        <w:rPr>
          <w:rFonts w:hint="eastAsia" w:ascii="仿宋" w:hAnsi="仿宋" w:eastAsia="仿宋" w:cs="仿宋"/>
          <w:sz w:val="24"/>
          <w:szCs w:val="24"/>
          <w:highlight w:val="none"/>
        </w:rPr>
        <w:t>名组员。</w:t>
      </w:r>
    </w:p>
    <w:p w14:paraId="0BFA3B1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ascii="仿宋" w:hAnsi="仿宋" w:eastAsia="仿宋" w:cs="仿宋"/>
          <w:sz w:val="24"/>
          <w:szCs w:val="24"/>
          <w:highlight w:val="none"/>
        </w:rPr>
      </w:pPr>
      <w:r>
        <w:rPr>
          <w:rFonts w:hint="eastAsia" w:ascii="仿宋" w:hAnsi="仿宋" w:eastAsia="仿宋" w:cs="仿宋"/>
          <w:sz w:val="24"/>
          <w:szCs w:val="24"/>
          <w:highlight w:val="none"/>
        </w:rPr>
        <w:t>投标人需具有类似的成功案例。</w:t>
      </w:r>
    </w:p>
    <w:p w14:paraId="0C79327D">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投标人具备采购需求相关的</w:t>
      </w:r>
      <w:r>
        <w:rPr>
          <w:rFonts w:hint="eastAsia" w:ascii="仿宋" w:hAnsi="仿宋" w:eastAsia="仿宋" w:cs="仿宋"/>
          <w:sz w:val="24"/>
          <w:szCs w:val="24"/>
          <w:highlight w:val="none"/>
          <w:u w:val="single"/>
          <w:lang w:val="en-US" w:eastAsia="zh-CN"/>
        </w:rPr>
        <w:t xml:space="preserve"> 住培管理系统、医学考试系统、教学评估系统、在线培训平台</w:t>
      </w:r>
      <w:r>
        <w:rPr>
          <w:rFonts w:hint="eastAsia" w:ascii="仿宋" w:hAnsi="仿宋" w:eastAsia="仿宋" w:cs="仿宋"/>
          <w:sz w:val="24"/>
          <w:szCs w:val="24"/>
          <w:highlight w:val="none"/>
          <w:lang w:val="en-US" w:eastAsia="zh-CN"/>
        </w:rPr>
        <w:t>相关软件著作权证书。</w:t>
      </w:r>
    </w:p>
    <w:p w14:paraId="5836300C">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项目经理是</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sz w:val="24"/>
          <w:szCs w:val="24"/>
          <w:highlight w:val="none"/>
        </w:rPr>
        <w:t>负责该项目实施的全权代表，负责项目的实施计划、资源协调、开发计划、各产品线研发人员进场计划等，同时还负责</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sz w:val="24"/>
          <w:szCs w:val="24"/>
          <w:highlight w:val="none"/>
        </w:rPr>
        <w:t>所有在现场工程师的行政和技术管理。项目没有验收前，未经甲方同意，乙方不得随意更换、调用项目经理。</w:t>
      </w:r>
    </w:p>
    <w:p w14:paraId="530D66F6">
      <w:pPr>
        <w:keepNext w:val="0"/>
        <w:keepLines w:val="0"/>
        <w:pageBreakBefore w:val="0"/>
        <w:numPr>
          <w:ilvl w:val="0"/>
          <w:numId w:val="5"/>
        </w:numPr>
        <w:kinsoku/>
        <w:wordWrap/>
        <w:overflowPunct/>
        <w:topLinePunct w:val="0"/>
        <w:autoSpaceDE/>
        <w:autoSpaceDN/>
        <w:bidi w:val="0"/>
        <w:adjustRightInd/>
        <w:spacing w:line="360" w:lineRule="auto"/>
        <w:ind w:left="0" w:leftChars="0"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维保服务要求</w:t>
      </w:r>
    </w:p>
    <w:p w14:paraId="2AE24E1F">
      <w:pPr>
        <w:keepNext w:val="0"/>
        <w:keepLines w:val="0"/>
        <w:pageBreakBefore w:val="0"/>
        <w:numPr>
          <w:ilvl w:val="-1"/>
          <w:numId w:val="0"/>
        </w:numPr>
        <w:kinsoku/>
        <w:wordWrap/>
        <w:overflowPunct/>
        <w:topLinePunct w:val="0"/>
        <w:autoSpaceDE/>
        <w:autoSpaceDN/>
        <w:bidi w:val="0"/>
        <w:adjustRightInd/>
        <w:spacing w:line="360" w:lineRule="auto"/>
        <w:ind w:left="0" w:firstLine="480" w:firstLineChars="20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（1）投标人承诺应用软件在验收合格后提供至少</w:t>
      </w:r>
      <w:r>
        <w:rPr>
          <w:rFonts w:hint="eastAsia" w:ascii="仿宋" w:hAnsi="仿宋" w:eastAsia="仿宋" w:cs="仿宋"/>
          <w:sz w:val="24"/>
          <w:szCs w:val="24"/>
          <w:highlight w:val="none"/>
          <w:u w:val="single"/>
          <w:lang w:val="en-US" w:eastAsia="zh-CN"/>
        </w:rPr>
        <w:t xml:space="preserve"> 1 </w:t>
      </w:r>
      <w:r>
        <w:rPr>
          <w:rFonts w:hint="eastAsia" w:ascii="仿宋" w:hAnsi="仿宋" w:eastAsia="仿宋" w:cs="仿宋"/>
          <w:sz w:val="24"/>
          <w:szCs w:val="24"/>
          <w:highlight w:val="none"/>
          <w:lang w:val="en-US" w:eastAsia="zh-CN"/>
        </w:rPr>
        <w:t>年7*24小时的功能增强性维护及技术维护服务（其中包括系统维护、硬件维护、跟踪检测故障排除、性能调优、技术咨询等，并负责处理、协调与各系统软件、硬件等供应商的关系），保证乙方所开发的软件正常运行；保证本合同产品的稳定运行，达到招标文件中系统功能和技术指标要求；本合同规定范围内的产品更新、升级和相关技术服务。</w:t>
      </w:r>
    </w:p>
    <w:p w14:paraId="6806CF3E">
      <w:pPr>
        <w:keepNext w:val="0"/>
        <w:keepLines w:val="0"/>
        <w:pageBreakBefore w:val="0"/>
        <w:numPr>
          <w:ilvl w:val="-1"/>
          <w:numId w:val="0"/>
        </w:numPr>
        <w:kinsoku/>
        <w:wordWrap/>
        <w:overflowPunct/>
        <w:topLinePunct w:val="0"/>
        <w:autoSpaceDE/>
        <w:autoSpaceDN/>
        <w:bidi w:val="0"/>
        <w:adjustRightInd/>
        <w:spacing w:line="360" w:lineRule="auto"/>
        <w:ind w:left="0" w:firstLine="480" w:firstLineChars="200"/>
        <w:textAlignment w:val="auto"/>
        <w:outlineLvl w:val="9"/>
        <w:rPr>
          <w:highlight w:val="none"/>
        </w:rPr>
      </w:pPr>
      <w:r>
        <w:rPr>
          <w:rFonts w:hint="eastAsia" w:ascii="仿宋" w:hAnsi="仿宋" w:eastAsia="仿宋" w:cs="仿宋"/>
          <w:sz w:val="24"/>
          <w:szCs w:val="24"/>
          <w:highlight w:val="none"/>
          <w:lang w:val="en-US" w:eastAsia="zh-CN"/>
        </w:rPr>
        <w:t>（2）维护期内投标人至少指定1名有二年以上采购人采购产品实施（研发）经验的技术人员为医院售后服务负责人，7×24小时，30分钟内响应，含周末及节假日（售后服务负责人更换需提前15天通知甲方同意）。涉及系统硬件日常运维管理、软件的生命周期中如软件自身缺陷、系统故障、系统宕机或由于医院紧急业务处理等非常原因引起的软件修改需求，将在到达现场后2-4小时内给予解决，并参加医院周末及节假日值班。</w:t>
      </w:r>
    </w:p>
    <w:p w14:paraId="11EAB97B">
      <w:pPr>
        <w:keepNext w:val="0"/>
        <w:keepLines w:val="0"/>
        <w:pageBreakBefore w:val="0"/>
        <w:kinsoku/>
        <w:wordWrap/>
        <w:overflowPunct/>
        <w:topLinePunct w:val="0"/>
        <w:autoSpaceDE/>
        <w:autoSpaceDN/>
        <w:bidi w:val="0"/>
        <w:adjustRightInd/>
        <w:spacing w:line="360" w:lineRule="auto"/>
        <w:textAlignment w:val="auto"/>
        <w:rPr>
          <w:highlight w:val="none"/>
        </w:rPr>
      </w:pPr>
    </w:p>
    <w:p w14:paraId="60394D47">
      <w:pPr>
        <w:keepNext w:val="0"/>
        <w:keepLines w:val="0"/>
        <w:pageBreakBefore w:val="0"/>
        <w:kinsoku/>
        <w:wordWrap/>
        <w:overflowPunct/>
        <w:topLinePunct w:val="0"/>
        <w:autoSpaceDE/>
        <w:autoSpaceDN/>
        <w:bidi w:val="0"/>
        <w:adjustRightInd/>
        <w:spacing w:line="360" w:lineRule="auto"/>
        <w:textAlignment w:val="auto"/>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761A33"/>
    <w:multiLevelType w:val="singleLevel"/>
    <w:tmpl w:val="98761A33"/>
    <w:lvl w:ilvl="0" w:tentative="0">
      <w:start w:val="1"/>
      <w:numFmt w:val="decimal"/>
      <w:suff w:val="nothing"/>
      <w:lvlText w:val="%1、"/>
      <w:lvlJc w:val="left"/>
    </w:lvl>
  </w:abstractNum>
  <w:abstractNum w:abstractNumId="1">
    <w:nsid w:val="9FFB60E8"/>
    <w:multiLevelType w:val="singleLevel"/>
    <w:tmpl w:val="9FFB60E8"/>
    <w:lvl w:ilvl="0" w:tentative="0">
      <w:start w:val="1"/>
      <w:numFmt w:val="decimal"/>
      <w:suff w:val="nothing"/>
      <w:lvlText w:val="%1、"/>
      <w:lvlJc w:val="left"/>
    </w:lvl>
  </w:abstractNum>
  <w:abstractNum w:abstractNumId="2">
    <w:nsid w:val="FFFECDCD"/>
    <w:multiLevelType w:val="singleLevel"/>
    <w:tmpl w:val="FFFECDCD"/>
    <w:lvl w:ilvl="0" w:tentative="0">
      <w:start w:val="1"/>
      <w:numFmt w:val="decimal"/>
      <w:suff w:val="nothing"/>
      <w:lvlText w:val="%1、"/>
      <w:lvlJc w:val="left"/>
    </w:lvl>
  </w:abstractNum>
  <w:abstractNum w:abstractNumId="3">
    <w:nsid w:val="0BE5779A"/>
    <w:multiLevelType w:val="multilevel"/>
    <w:tmpl w:val="0BE5779A"/>
    <w:lvl w:ilvl="0" w:tentative="0">
      <w:start w:val="1"/>
      <w:numFmt w:val="decimal"/>
      <w:lvlText w:val="%1"/>
      <w:lvlJc w:val="left"/>
      <w:pPr>
        <w:ind w:left="420" w:hanging="420"/>
      </w:pPr>
      <w:rPr>
        <w:rFonts w:hint="default" w:ascii="宋体" w:hAnsi="宋体" w:eastAsia="宋体"/>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36853BA"/>
    <w:multiLevelType w:val="multilevel"/>
    <w:tmpl w:val="336853BA"/>
    <w:lvl w:ilvl="0" w:tentative="0">
      <w:start w:val="1"/>
      <w:numFmt w:val="chineseCountingThousand"/>
      <w:lvlText w:val="%1、"/>
      <w:lvlJc w:val="left"/>
      <w:pPr>
        <w:ind w:left="420" w:hanging="420"/>
      </w:pPr>
      <w:rPr>
        <w:rFonts w:hint="eastAsia"/>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B5B5F2E"/>
    <w:rsid w:val="39FACC55"/>
    <w:rsid w:val="3DBF77C9"/>
    <w:rsid w:val="484F76B3"/>
    <w:rsid w:val="5FF7F4CB"/>
    <w:rsid w:val="73AB20A5"/>
    <w:rsid w:val="7AF8C0F5"/>
    <w:rsid w:val="7C9E8FF2"/>
    <w:rsid w:val="7FFDE47C"/>
    <w:rsid w:val="ABBF8255"/>
    <w:rsid w:val="DFFBDE3D"/>
    <w:rsid w:val="E5AA137E"/>
    <w:rsid w:val="F2FB898E"/>
    <w:rsid w:val="FAF78B95"/>
    <w:rsid w:val="FC99852B"/>
    <w:rsid w:val="FDF7C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widowControl w:val="0"/>
      <w:spacing w:before="200" w:after="200" w:line="300" w:lineRule="exact"/>
      <w:jc w:val="center"/>
      <w:outlineLvl w:val="1"/>
    </w:pPr>
    <w:rPr>
      <w:rFonts w:ascii="宋体" w:hAnsi="宋体" w:cstheme="majorBidi"/>
      <w:b/>
      <w:bCs/>
      <w:iCs/>
      <w:color w:val="000000" w:themeColor="text1"/>
      <w:kern w:val="2"/>
      <w:sz w:val="28"/>
      <w:szCs w:val="28"/>
      <w14:textFill>
        <w14:solidFill>
          <w14:schemeClr w14:val="tx1"/>
        </w14:solidFill>
      </w14:textFill>
    </w:rPr>
  </w:style>
  <w:style w:type="paragraph" w:styleId="2">
    <w:name w:val="heading 4"/>
    <w:basedOn w:val="1"/>
    <w:next w:val="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0"/>
    <w:pPr>
      <w:widowControl w:val="0"/>
      <w:ind w:firstLine="420" w:firstLineChars="200"/>
    </w:pPr>
    <w:rPr>
      <w:kern w:val="2"/>
      <w:szCs w:val="24"/>
    </w:rPr>
  </w:style>
  <w:style w:type="paragraph" w:styleId="5">
    <w:name w:val="annotation text"/>
    <w:basedOn w:val="1"/>
    <w:qFormat/>
    <w:uiPriority w:val="0"/>
    <w:pPr>
      <w:jc w:val="left"/>
    </w:pPr>
  </w:style>
  <w:style w:type="paragraph" w:styleId="6">
    <w:name w:val="Body Text"/>
    <w:basedOn w:val="1"/>
    <w:qFormat/>
    <w:uiPriority w:val="99"/>
    <w:pPr>
      <w:widowControl/>
      <w:jc w:val="left"/>
    </w:pPr>
    <w:rPr>
      <w:rFonts w:ascii="Arial" w:hAnsi="Arial" w:eastAsia="宋体" w:cs="Times New Roman"/>
      <w:kern w:val="0"/>
      <w:sz w:val="20"/>
      <w:szCs w:val="20"/>
      <w:lang w:val="de-DE" w:eastAsia="en-US"/>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12">
    <w:name w:val="*正文"/>
    <w:basedOn w:val="1"/>
    <w:qFormat/>
    <w:uiPriority w:val="0"/>
    <w:pPr>
      <w:spacing w:line="300" w:lineRule="auto"/>
      <w:ind w:firstLine="480" w:firstLineChars="200"/>
    </w:pPr>
    <w:rPr>
      <w:rFonts w:ascii="宋体" w:hAnsi="宋体"/>
      <w:sz w:val="24"/>
    </w:rPr>
  </w:style>
  <w:style w:type="paragraph" w:styleId="13">
    <w:name w:val="List Paragraph"/>
    <w:basedOn w:val="1"/>
    <w:qFormat/>
    <w:uiPriority w:val="34"/>
    <w:pPr>
      <w:ind w:left="720"/>
      <w:contextualSpacing/>
    </w:pPr>
  </w:style>
  <w:style w:type="paragraph" w:customStyle="1" w:styleId="14">
    <w:name w:val="无间隔1"/>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491</Words>
  <Characters>508</Characters>
  <Lines>0</Lines>
  <Paragraphs>0</Paragraphs>
  <TotalTime>968</TotalTime>
  <ScaleCrop>false</ScaleCrop>
  <LinksUpToDate>false</LinksUpToDate>
  <CharactersWithSpaces>518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2025-11-08T14:44:00Z</dcterms:created>
  <dc:creator>李文倩</dc:creator>
  <cp:lastModifiedBy>桂明</cp:lastModifiedBy>
  <cp:lastPrinted>2025-12-10T10:19:00Z</cp:lastPrinted>
  <dcterms:modified xsi:type="dcterms:W3CDTF">2026-01-23T03:24:27Z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D2B3EFF90AAF3D0BFFD5386998B05F4C_43</vt:lpwstr>
  </property>
  <property fmtid="{D5CDD505-2E9C-101B-9397-08002B2CF9AE}" pid="4" name="KSOTemplateDocerSaveRecord">
    <vt:lpwstr>eyJoZGlkIjoiYjdiZjczZTZiMDk2OWQxZTI4Y2EwNGVhM2EzMjVmNDkiLCJ1c2VySWQiOiIxNjk2OTc0NjU2In0=</vt:lpwstr>
  </property>
</Properties>
</file>