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57FE25">
      <w:pPr>
        <w:ind w:left="420"/>
        <w:jc w:val="center"/>
        <w:rPr>
          <w:rFonts w:hint="eastAsia" w:ascii="仿宋" w:hAnsi="仿宋" w:eastAsia="仿宋" w:cs="仿宋"/>
          <w:b/>
          <w:sz w:val="44"/>
          <w:szCs w:val="44"/>
        </w:rPr>
      </w:pPr>
    </w:p>
    <w:p w14:paraId="04BD7B08">
      <w:pPr>
        <w:ind w:left="420"/>
        <w:jc w:val="center"/>
        <w:rPr>
          <w:rFonts w:hint="eastAsia" w:ascii="仿宋" w:hAnsi="仿宋" w:eastAsia="仿宋" w:cs="仿宋"/>
          <w:b/>
          <w:sz w:val="44"/>
          <w:szCs w:val="44"/>
        </w:rPr>
      </w:pPr>
    </w:p>
    <w:p w14:paraId="74258E1D">
      <w:pPr>
        <w:ind w:left="420"/>
        <w:jc w:val="center"/>
        <w:rPr>
          <w:rFonts w:hint="eastAsia" w:ascii="仿宋" w:hAnsi="仿宋" w:eastAsia="仿宋" w:cs="仿宋"/>
          <w:b/>
          <w:sz w:val="44"/>
          <w:szCs w:val="44"/>
        </w:rPr>
      </w:pPr>
      <w:r>
        <w:rPr>
          <w:rFonts w:hint="eastAsia" w:ascii="仿宋" w:hAnsi="仿宋" w:eastAsia="仿宋" w:cs="仿宋"/>
          <w:b/>
          <w:sz w:val="44"/>
          <w:szCs w:val="44"/>
        </w:rPr>
        <w:t>湖北省武汉市中级人民法院        2026年度</w:t>
      </w:r>
      <w:r>
        <w:rPr>
          <w:rFonts w:hint="eastAsia" w:ascii="仿宋" w:hAnsi="仿宋" w:eastAsia="仿宋" w:cs="仿宋"/>
          <w:b/>
          <w:sz w:val="44"/>
          <w:szCs w:val="44"/>
          <w:lang w:eastAsia="zh-CN"/>
        </w:rPr>
        <w:t>网络及安全</w:t>
      </w:r>
      <w:r>
        <w:rPr>
          <w:rFonts w:hint="eastAsia" w:ascii="仿宋" w:hAnsi="仿宋" w:eastAsia="仿宋" w:cs="仿宋"/>
          <w:b/>
          <w:sz w:val="44"/>
          <w:szCs w:val="44"/>
        </w:rPr>
        <w:t>运维服务采购需求</w:t>
      </w:r>
    </w:p>
    <w:p w14:paraId="5FC9E5CF">
      <w:pPr>
        <w:ind w:left="420"/>
        <w:rPr>
          <w:rFonts w:hint="eastAsia" w:ascii="仿宋" w:hAnsi="仿宋" w:eastAsia="仿宋" w:cs="仿宋"/>
        </w:rPr>
      </w:pPr>
    </w:p>
    <w:p w14:paraId="5F822DDC">
      <w:pPr>
        <w:ind w:left="420"/>
        <w:rPr>
          <w:rFonts w:hint="eastAsia" w:ascii="仿宋" w:hAnsi="仿宋" w:eastAsia="仿宋" w:cs="仿宋"/>
        </w:rPr>
      </w:pPr>
    </w:p>
    <w:p w14:paraId="20262DD6">
      <w:pPr>
        <w:ind w:left="420"/>
        <w:rPr>
          <w:rFonts w:hint="eastAsia" w:ascii="仿宋" w:hAnsi="仿宋" w:eastAsia="仿宋" w:cs="仿宋"/>
        </w:rPr>
      </w:pPr>
    </w:p>
    <w:p w14:paraId="73B92735">
      <w:pPr>
        <w:ind w:left="420"/>
        <w:rPr>
          <w:rFonts w:hint="eastAsia" w:ascii="仿宋" w:hAnsi="仿宋" w:eastAsia="仿宋" w:cs="仿宋"/>
        </w:rPr>
      </w:pPr>
    </w:p>
    <w:p w14:paraId="21220C80">
      <w:pPr>
        <w:ind w:left="420"/>
        <w:rPr>
          <w:rFonts w:hint="eastAsia" w:ascii="仿宋" w:hAnsi="仿宋" w:eastAsia="仿宋" w:cs="仿宋"/>
        </w:rPr>
      </w:pPr>
    </w:p>
    <w:p w14:paraId="324641E0">
      <w:pPr>
        <w:ind w:left="420"/>
        <w:rPr>
          <w:rFonts w:hint="eastAsia" w:ascii="仿宋" w:hAnsi="仿宋" w:eastAsia="仿宋" w:cs="仿宋"/>
        </w:rPr>
      </w:pPr>
    </w:p>
    <w:p w14:paraId="4C59EAC4">
      <w:pPr>
        <w:ind w:left="420"/>
        <w:rPr>
          <w:rFonts w:hint="eastAsia" w:ascii="仿宋" w:hAnsi="仿宋" w:eastAsia="仿宋" w:cs="仿宋"/>
        </w:rPr>
      </w:pPr>
    </w:p>
    <w:p w14:paraId="30904A7B">
      <w:pPr>
        <w:ind w:left="420"/>
        <w:rPr>
          <w:rFonts w:hint="eastAsia" w:ascii="仿宋" w:hAnsi="仿宋" w:eastAsia="仿宋" w:cs="仿宋"/>
        </w:rPr>
      </w:pPr>
    </w:p>
    <w:p w14:paraId="2A860C07">
      <w:pPr>
        <w:ind w:left="420"/>
        <w:rPr>
          <w:rFonts w:hint="eastAsia" w:ascii="仿宋" w:hAnsi="仿宋" w:eastAsia="仿宋" w:cs="仿宋"/>
        </w:rPr>
      </w:pPr>
    </w:p>
    <w:p w14:paraId="73883CFC">
      <w:pPr>
        <w:ind w:left="420"/>
        <w:rPr>
          <w:rFonts w:hint="eastAsia" w:ascii="仿宋" w:hAnsi="仿宋" w:eastAsia="仿宋" w:cs="仿宋"/>
        </w:rPr>
      </w:pPr>
    </w:p>
    <w:p w14:paraId="4C988496">
      <w:pPr>
        <w:ind w:left="420"/>
        <w:rPr>
          <w:rFonts w:hint="eastAsia" w:ascii="仿宋" w:hAnsi="仿宋" w:eastAsia="仿宋" w:cs="仿宋"/>
        </w:rPr>
      </w:pPr>
    </w:p>
    <w:p w14:paraId="12233DD8">
      <w:pPr>
        <w:ind w:left="420"/>
        <w:rPr>
          <w:rFonts w:hint="eastAsia" w:ascii="仿宋" w:hAnsi="仿宋" w:eastAsia="仿宋" w:cs="仿宋"/>
        </w:rPr>
      </w:pPr>
    </w:p>
    <w:p w14:paraId="6D0848A7">
      <w:pPr>
        <w:ind w:left="420"/>
        <w:rPr>
          <w:rFonts w:hint="eastAsia" w:ascii="仿宋" w:hAnsi="仿宋" w:eastAsia="仿宋" w:cs="仿宋"/>
        </w:rPr>
      </w:pPr>
    </w:p>
    <w:p w14:paraId="71D82FEB">
      <w:pPr>
        <w:ind w:left="420"/>
        <w:rPr>
          <w:rFonts w:hint="eastAsia" w:ascii="仿宋" w:hAnsi="仿宋" w:eastAsia="仿宋" w:cs="仿宋"/>
        </w:rPr>
      </w:pPr>
    </w:p>
    <w:p w14:paraId="0DB330F4">
      <w:pPr>
        <w:ind w:left="420"/>
        <w:rPr>
          <w:rFonts w:hint="eastAsia" w:ascii="仿宋" w:hAnsi="仿宋" w:eastAsia="仿宋" w:cs="仿宋"/>
        </w:rPr>
      </w:pPr>
    </w:p>
    <w:p w14:paraId="2E69A761">
      <w:pPr>
        <w:ind w:left="420"/>
        <w:rPr>
          <w:rFonts w:hint="eastAsia" w:ascii="仿宋" w:hAnsi="仿宋" w:eastAsia="仿宋" w:cs="仿宋"/>
        </w:rPr>
      </w:pPr>
    </w:p>
    <w:p w14:paraId="26470A8F">
      <w:pPr>
        <w:ind w:left="420"/>
        <w:jc w:val="center"/>
        <w:rPr>
          <w:rFonts w:hint="eastAsia" w:ascii="仿宋" w:hAnsi="仿宋" w:eastAsia="仿宋" w:cs="仿宋"/>
          <w:sz w:val="32"/>
          <w:szCs w:val="32"/>
        </w:rPr>
      </w:pPr>
      <w:r>
        <w:rPr>
          <w:rFonts w:hint="eastAsia" w:ascii="仿宋" w:hAnsi="仿宋" w:eastAsia="仿宋" w:cs="仿宋"/>
          <w:sz w:val="32"/>
          <w:szCs w:val="32"/>
        </w:rPr>
        <w:t>湖北省武汉市中级人民法院</w:t>
      </w:r>
    </w:p>
    <w:p w14:paraId="0E6CCD05">
      <w:pPr>
        <w:ind w:left="420"/>
        <w:jc w:val="center"/>
        <w:rPr>
          <w:rFonts w:hint="eastAsia" w:ascii="仿宋" w:hAnsi="仿宋" w:eastAsia="仿宋" w:cs="仿宋"/>
          <w:sz w:val="32"/>
          <w:szCs w:val="32"/>
        </w:rPr>
      </w:pPr>
      <w:r>
        <w:rPr>
          <w:rFonts w:hint="eastAsia" w:ascii="仿宋" w:hAnsi="仿宋" w:eastAsia="仿宋" w:cs="仿宋"/>
          <w:sz w:val="32"/>
          <w:szCs w:val="32"/>
        </w:rPr>
        <w:t>2025年1</w:t>
      </w:r>
      <w:r>
        <w:rPr>
          <w:rFonts w:hint="eastAsia" w:ascii="仿宋" w:hAnsi="仿宋" w:eastAsia="仿宋" w:cs="仿宋"/>
          <w:sz w:val="32"/>
          <w:szCs w:val="32"/>
          <w:lang w:val="en-US" w:eastAsia="zh-CN"/>
        </w:rPr>
        <w:t>2</w:t>
      </w:r>
      <w:r>
        <w:rPr>
          <w:rFonts w:hint="eastAsia" w:ascii="仿宋" w:hAnsi="仿宋" w:eastAsia="仿宋" w:cs="仿宋"/>
          <w:sz w:val="32"/>
          <w:szCs w:val="32"/>
        </w:rPr>
        <w:t>月</w:t>
      </w:r>
    </w:p>
    <w:p w14:paraId="7F01EDB6">
      <w:pPr>
        <w:ind w:right="38"/>
        <w:jc w:val="center"/>
        <w:rPr>
          <w:rFonts w:hint="eastAsia" w:ascii="仿宋" w:hAnsi="仿宋" w:eastAsia="仿宋" w:cs="仿宋"/>
          <w:b/>
          <w:bCs/>
          <w:sz w:val="36"/>
          <w:szCs w:val="32"/>
        </w:rPr>
      </w:pPr>
    </w:p>
    <w:p w14:paraId="08096877">
      <w:pPr>
        <w:ind w:right="38"/>
        <w:rPr>
          <w:rFonts w:hint="eastAsia" w:ascii="仿宋" w:hAnsi="仿宋" w:eastAsia="仿宋" w:cs="仿宋"/>
          <w:b/>
          <w:bCs/>
          <w:sz w:val="36"/>
          <w:szCs w:val="32"/>
        </w:rPr>
      </w:pPr>
    </w:p>
    <w:p w14:paraId="6BF94EC1">
      <w:pPr>
        <w:pStyle w:val="2"/>
        <w:ind w:left="0" w:right="38"/>
        <w:jc w:val="left"/>
        <w:rPr>
          <w:rFonts w:hint="eastAsia" w:ascii="仿宋" w:hAnsi="仿宋" w:eastAsia="仿宋" w:cs="仿宋"/>
        </w:rPr>
      </w:pPr>
      <w:bookmarkStart w:id="0" w:name="_Toc99456624"/>
      <w:r>
        <w:rPr>
          <w:rFonts w:hint="eastAsia" w:ascii="仿宋" w:hAnsi="仿宋" w:eastAsia="仿宋" w:cs="仿宋"/>
        </w:rPr>
        <w:t>采购名称</w:t>
      </w:r>
      <w:bookmarkEnd w:id="0"/>
    </w:p>
    <w:p w14:paraId="564F44CA">
      <w:pPr>
        <w:pStyle w:val="18"/>
        <w:tabs>
          <w:tab w:val="left" w:pos="0"/>
          <w:tab w:val="left" w:pos="284"/>
          <w:tab w:val="left" w:pos="851"/>
        </w:tabs>
        <w:ind w:left="0" w:leftChars="0"/>
        <w:rPr>
          <w:rFonts w:hint="eastAsia" w:ascii="仿宋" w:hAnsi="仿宋" w:eastAsia="仿宋" w:cs="仿宋"/>
          <w:sz w:val="24"/>
        </w:rPr>
      </w:pPr>
      <w:r>
        <w:rPr>
          <w:rFonts w:hint="eastAsia" w:ascii="仿宋" w:hAnsi="仿宋" w:eastAsia="仿宋" w:cs="仿宋"/>
          <w:sz w:val="24"/>
        </w:rPr>
        <w:t>项目名称：湖北省武汉市中级人民法院2026年度</w:t>
      </w:r>
      <w:r>
        <w:rPr>
          <w:rFonts w:hint="eastAsia" w:ascii="仿宋" w:hAnsi="仿宋" w:eastAsia="仿宋" w:cs="仿宋"/>
          <w:sz w:val="24"/>
          <w:lang w:eastAsia="zh-CN"/>
        </w:rPr>
        <w:t>网络及安全</w:t>
      </w:r>
      <w:r>
        <w:rPr>
          <w:rFonts w:hint="eastAsia" w:ascii="仿宋" w:hAnsi="仿宋" w:eastAsia="仿宋" w:cs="仿宋"/>
          <w:sz w:val="24"/>
        </w:rPr>
        <w:t>运维服务。</w:t>
      </w:r>
    </w:p>
    <w:p w14:paraId="3A0ECAD5">
      <w:pPr>
        <w:pStyle w:val="2"/>
        <w:ind w:left="0" w:right="38"/>
        <w:jc w:val="left"/>
        <w:rPr>
          <w:rFonts w:hint="eastAsia" w:ascii="仿宋" w:hAnsi="仿宋" w:eastAsia="仿宋" w:cs="仿宋"/>
        </w:rPr>
      </w:pPr>
      <w:bookmarkStart w:id="1" w:name="_Toc99456625"/>
      <w:r>
        <w:rPr>
          <w:rFonts w:hint="eastAsia" w:ascii="仿宋" w:hAnsi="仿宋" w:eastAsia="仿宋" w:cs="仿宋"/>
        </w:rPr>
        <w:t>采购预算</w:t>
      </w:r>
      <w:bookmarkEnd w:id="1"/>
    </w:p>
    <w:p w14:paraId="648811DD">
      <w:pPr>
        <w:pStyle w:val="18"/>
        <w:tabs>
          <w:tab w:val="left" w:pos="0"/>
          <w:tab w:val="left" w:pos="284"/>
          <w:tab w:val="left" w:pos="851"/>
        </w:tabs>
        <w:ind w:left="0" w:leftChars="0"/>
        <w:rPr>
          <w:rFonts w:hint="eastAsia" w:ascii="仿宋" w:hAnsi="仿宋" w:eastAsia="仿宋" w:cs="仿宋"/>
          <w:sz w:val="24"/>
        </w:rPr>
      </w:pPr>
      <w:r>
        <w:rPr>
          <w:rFonts w:hint="eastAsia" w:ascii="仿宋" w:hAnsi="仿宋" w:eastAsia="仿宋" w:cs="仿宋"/>
          <w:sz w:val="24"/>
        </w:rPr>
        <w:t>采购预算为人民币</w:t>
      </w:r>
      <w:r>
        <w:rPr>
          <w:rFonts w:hint="eastAsia" w:ascii="仿宋" w:hAnsi="仿宋" w:eastAsia="仿宋" w:cs="仿宋"/>
          <w:b/>
          <w:bCs/>
          <w:sz w:val="24"/>
          <w:lang w:val="en-US" w:eastAsia="zh-CN"/>
        </w:rPr>
        <w:t>151.8</w:t>
      </w:r>
      <w:r>
        <w:rPr>
          <w:rFonts w:hint="eastAsia" w:ascii="仿宋" w:hAnsi="仿宋" w:eastAsia="仿宋" w:cs="仿宋"/>
          <w:sz w:val="24"/>
        </w:rPr>
        <w:t>万元；供应商报价超采购预算均为无效报价。</w:t>
      </w:r>
    </w:p>
    <w:p w14:paraId="532225DF">
      <w:pPr>
        <w:pStyle w:val="2"/>
        <w:ind w:left="0" w:right="38"/>
        <w:jc w:val="left"/>
        <w:rPr>
          <w:rFonts w:hint="eastAsia" w:ascii="仿宋" w:hAnsi="仿宋" w:eastAsia="仿宋" w:cs="仿宋"/>
        </w:rPr>
      </w:pPr>
      <w:r>
        <w:rPr>
          <w:rFonts w:hint="eastAsia" w:ascii="仿宋" w:hAnsi="仿宋" w:eastAsia="仿宋" w:cs="仿宋"/>
        </w:rPr>
        <w:t>采购需求</w:t>
      </w:r>
    </w:p>
    <w:p w14:paraId="6013CD00">
      <w:pPr>
        <w:pStyle w:val="3"/>
        <w:rPr>
          <w:rFonts w:hint="eastAsia" w:ascii="仿宋" w:hAnsi="仿宋" w:eastAsia="仿宋" w:cs="仿宋"/>
        </w:rPr>
      </w:pPr>
      <w:r>
        <w:rPr>
          <w:rFonts w:hint="eastAsia" w:ascii="仿宋" w:hAnsi="仿宋" w:eastAsia="仿宋" w:cs="仿宋"/>
        </w:rPr>
        <w:t>服务目标</w:t>
      </w:r>
    </w:p>
    <w:p w14:paraId="72AC75E7">
      <w:pPr>
        <w:ind w:firstLine="480" w:firstLineChars="200"/>
        <w:rPr>
          <w:rFonts w:hint="eastAsia" w:ascii="仿宋" w:hAnsi="仿宋" w:eastAsia="仿宋" w:cs="仿宋"/>
        </w:rPr>
      </w:pPr>
      <w:r>
        <w:rPr>
          <w:rFonts w:hint="eastAsia" w:ascii="仿宋" w:hAnsi="仿宋" w:eastAsia="仿宋" w:cs="仿宋"/>
          <w:szCs w:val="24"/>
        </w:rPr>
        <w:t>近年来，在院党组的坚强领导和悉心指导下，武汉市中级人民法院信息化工作实现跨越式发展，为审判管理、司法诉讼等重点工作提供了有力支撑。为进一步提升信息化运维工作质效，优化运维服务体系，强化保障能力，并顺应信息化发展新趋势，拟借助专业公司优势资源，构建科学规范的大运维管理模式。现需通过公开招标方式，择优选定具备相应资质、专业团队和丰富经验的第三方信息化运营服务供应商，为推进武汉市中级人民法院大运维服务管理体系建设提供专业化支持。</w:t>
      </w:r>
    </w:p>
    <w:p w14:paraId="5D341740">
      <w:pPr>
        <w:pStyle w:val="3"/>
        <w:rPr>
          <w:rFonts w:hint="eastAsia" w:ascii="仿宋" w:hAnsi="仿宋" w:eastAsia="仿宋" w:cs="仿宋"/>
        </w:rPr>
      </w:pPr>
      <w:r>
        <w:rPr>
          <w:rFonts w:hint="eastAsia" w:ascii="仿宋" w:hAnsi="仿宋" w:eastAsia="仿宋" w:cs="仿宋"/>
        </w:rPr>
        <w:t>采购清单</w:t>
      </w:r>
      <w:r>
        <w:rPr>
          <w:rFonts w:hint="eastAsia" w:ascii="仿宋" w:hAnsi="仿宋" w:eastAsia="仿宋" w:cs="仿宋"/>
          <w:lang w:val="en-US" w:eastAsia="zh-CN"/>
        </w:rPr>
        <w:t>及服务内容</w:t>
      </w:r>
    </w:p>
    <w:tbl>
      <w:tblPr>
        <w:tblStyle w:val="39"/>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7086"/>
        <w:gridCol w:w="1015"/>
      </w:tblGrid>
      <w:tr w14:paraId="5A677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35" w:type="dxa"/>
            <w:noWrap/>
            <w:vAlign w:val="center"/>
          </w:tcPr>
          <w:p w14:paraId="326CE7AA">
            <w:pPr>
              <w:jc w:val="center"/>
              <w:rPr>
                <w:rFonts w:hint="eastAsia" w:ascii="仿宋" w:hAnsi="仿宋" w:eastAsia="仿宋" w:cs="仿宋"/>
                <w:b/>
                <w:bCs/>
                <w:sz w:val="28"/>
                <w:szCs w:val="24"/>
              </w:rPr>
            </w:pPr>
            <w:r>
              <w:rPr>
                <w:rFonts w:hint="eastAsia" w:ascii="仿宋" w:hAnsi="仿宋" w:eastAsia="仿宋" w:cs="仿宋"/>
                <w:b/>
                <w:bCs/>
                <w:sz w:val="28"/>
                <w:szCs w:val="24"/>
              </w:rPr>
              <w:t>序号</w:t>
            </w:r>
          </w:p>
        </w:tc>
        <w:tc>
          <w:tcPr>
            <w:tcW w:w="7086" w:type="dxa"/>
            <w:vAlign w:val="center"/>
          </w:tcPr>
          <w:p w14:paraId="17003070">
            <w:pPr>
              <w:jc w:val="center"/>
              <w:rPr>
                <w:rFonts w:hint="eastAsia" w:ascii="仿宋" w:hAnsi="仿宋" w:eastAsia="仿宋" w:cs="仿宋"/>
                <w:b/>
                <w:bCs/>
                <w:sz w:val="28"/>
                <w:szCs w:val="24"/>
              </w:rPr>
            </w:pPr>
            <w:r>
              <w:rPr>
                <w:rFonts w:hint="eastAsia" w:ascii="仿宋" w:hAnsi="仿宋" w:eastAsia="仿宋" w:cs="仿宋"/>
                <w:b/>
                <w:bCs/>
                <w:sz w:val="28"/>
                <w:szCs w:val="24"/>
              </w:rPr>
              <w:t>服务名称</w:t>
            </w:r>
          </w:p>
        </w:tc>
        <w:tc>
          <w:tcPr>
            <w:tcW w:w="1015" w:type="dxa"/>
            <w:noWrap/>
            <w:vAlign w:val="center"/>
          </w:tcPr>
          <w:p w14:paraId="7D4EFDB1">
            <w:pPr>
              <w:jc w:val="center"/>
              <w:rPr>
                <w:rFonts w:hint="eastAsia" w:ascii="仿宋" w:hAnsi="仿宋" w:eastAsia="仿宋" w:cs="仿宋"/>
                <w:b/>
                <w:bCs/>
                <w:sz w:val="28"/>
                <w:szCs w:val="24"/>
              </w:rPr>
            </w:pPr>
            <w:r>
              <w:rPr>
                <w:rFonts w:hint="eastAsia" w:ascii="仿宋" w:hAnsi="仿宋" w:eastAsia="仿宋" w:cs="仿宋"/>
                <w:b/>
                <w:bCs/>
                <w:sz w:val="28"/>
                <w:szCs w:val="24"/>
              </w:rPr>
              <w:t>期限</w:t>
            </w:r>
          </w:p>
        </w:tc>
      </w:tr>
      <w:tr w14:paraId="30E09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35" w:type="dxa"/>
            <w:noWrap/>
            <w:vAlign w:val="center"/>
          </w:tcPr>
          <w:p w14:paraId="4ED9C644">
            <w:pPr>
              <w:jc w:val="center"/>
              <w:rPr>
                <w:rFonts w:hint="eastAsia" w:ascii="仿宋" w:hAnsi="仿宋" w:eastAsia="仿宋" w:cs="仿宋"/>
              </w:rPr>
            </w:pPr>
            <w:r>
              <w:rPr>
                <w:rFonts w:hint="eastAsia" w:ascii="仿宋" w:hAnsi="仿宋" w:eastAsia="仿宋" w:cs="仿宋"/>
              </w:rPr>
              <w:t>1</w:t>
            </w:r>
          </w:p>
        </w:tc>
        <w:tc>
          <w:tcPr>
            <w:tcW w:w="7086" w:type="dxa"/>
            <w:vAlign w:val="center"/>
          </w:tcPr>
          <w:p w14:paraId="1397F7DF">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基础架构运维服务</w:t>
            </w:r>
          </w:p>
        </w:tc>
        <w:tc>
          <w:tcPr>
            <w:tcW w:w="1015" w:type="dxa"/>
            <w:vAlign w:val="center"/>
          </w:tcPr>
          <w:p w14:paraId="480CDF55">
            <w:pPr>
              <w:jc w:val="center"/>
              <w:rPr>
                <w:rFonts w:hint="eastAsia" w:ascii="仿宋" w:hAnsi="仿宋" w:eastAsia="仿宋" w:cs="仿宋"/>
              </w:rPr>
            </w:pPr>
            <w:r>
              <w:rPr>
                <w:rFonts w:hint="eastAsia" w:ascii="仿宋" w:hAnsi="仿宋" w:eastAsia="仿宋" w:cs="仿宋"/>
              </w:rPr>
              <w:t>1年</w:t>
            </w:r>
          </w:p>
        </w:tc>
      </w:tr>
      <w:tr w14:paraId="20177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35" w:type="dxa"/>
            <w:noWrap/>
            <w:vAlign w:val="center"/>
          </w:tcPr>
          <w:p w14:paraId="3333DC7E">
            <w:pPr>
              <w:jc w:val="center"/>
              <w:rPr>
                <w:rFonts w:hint="eastAsia" w:ascii="仿宋" w:hAnsi="仿宋" w:eastAsia="仿宋" w:cs="仿宋"/>
              </w:rPr>
            </w:pPr>
            <w:r>
              <w:rPr>
                <w:rFonts w:hint="eastAsia" w:ascii="仿宋" w:hAnsi="仿宋" w:eastAsia="仿宋" w:cs="仿宋"/>
              </w:rPr>
              <w:t>2</w:t>
            </w:r>
          </w:p>
        </w:tc>
        <w:tc>
          <w:tcPr>
            <w:tcW w:w="7086" w:type="dxa"/>
            <w:vAlign w:val="center"/>
          </w:tcPr>
          <w:p w14:paraId="679E92DB">
            <w:pPr>
              <w:jc w:val="center"/>
              <w:rPr>
                <w:rFonts w:hint="default"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机房精密空调及UPS电源运维服务</w:t>
            </w:r>
          </w:p>
        </w:tc>
        <w:tc>
          <w:tcPr>
            <w:tcW w:w="1015" w:type="dxa"/>
            <w:vAlign w:val="center"/>
          </w:tcPr>
          <w:p w14:paraId="4974C788">
            <w:pPr>
              <w:jc w:val="center"/>
              <w:rPr>
                <w:rFonts w:hint="eastAsia" w:ascii="仿宋" w:hAnsi="仿宋" w:eastAsia="仿宋" w:cs="仿宋"/>
              </w:rPr>
            </w:pPr>
            <w:r>
              <w:rPr>
                <w:rFonts w:hint="eastAsia" w:ascii="仿宋" w:hAnsi="仿宋" w:eastAsia="仿宋" w:cs="仿宋"/>
              </w:rPr>
              <w:t>1年</w:t>
            </w:r>
          </w:p>
        </w:tc>
      </w:tr>
      <w:tr w14:paraId="359E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935" w:type="dxa"/>
            <w:noWrap/>
            <w:vAlign w:val="center"/>
          </w:tcPr>
          <w:p w14:paraId="400D6180">
            <w:pPr>
              <w:jc w:val="center"/>
              <w:rPr>
                <w:rFonts w:hint="eastAsia" w:ascii="仿宋" w:hAnsi="仿宋" w:eastAsia="仿宋" w:cs="仿宋"/>
              </w:rPr>
            </w:pPr>
            <w:r>
              <w:rPr>
                <w:rFonts w:hint="eastAsia" w:ascii="仿宋" w:hAnsi="仿宋" w:eastAsia="仿宋" w:cs="仿宋"/>
              </w:rPr>
              <w:t>3</w:t>
            </w:r>
          </w:p>
        </w:tc>
        <w:tc>
          <w:tcPr>
            <w:tcW w:w="7086" w:type="dxa"/>
            <w:vAlign w:val="center"/>
          </w:tcPr>
          <w:p w14:paraId="5C6247A9">
            <w:pPr>
              <w:jc w:val="center"/>
              <w:rPr>
                <w:rFonts w:hint="default"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机房动力环境集中监控系统运维服务</w:t>
            </w:r>
          </w:p>
        </w:tc>
        <w:tc>
          <w:tcPr>
            <w:tcW w:w="1015" w:type="dxa"/>
            <w:vAlign w:val="center"/>
          </w:tcPr>
          <w:p w14:paraId="41640845">
            <w:pPr>
              <w:jc w:val="center"/>
              <w:rPr>
                <w:rFonts w:hint="eastAsia" w:ascii="仿宋" w:hAnsi="仿宋" w:eastAsia="仿宋" w:cs="仿宋"/>
              </w:rPr>
            </w:pPr>
            <w:r>
              <w:rPr>
                <w:rFonts w:hint="eastAsia" w:ascii="仿宋" w:hAnsi="仿宋" w:eastAsia="仿宋" w:cs="仿宋"/>
              </w:rPr>
              <w:t>1年</w:t>
            </w:r>
          </w:p>
        </w:tc>
      </w:tr>
    </w:tbl>
    <w:p w14:paraId="36ECA783">
      <w:pPr>
        <w:pStyle w:val="3"/>
        <w:rPr>
          <w:rFonts w:hint="eastAsia" w:ascii="仿宋" w:hAnsi="仿宋" w:eastAsia="仿宋" w:cs="仿宋"/>
        </w:rPr>
      </w:pPr>
      <w:r>
        <w:rPr>
          <w:rFonts w:hint="eastAsia" w:ascii="仿宋" w:hAnsi="仿宋" w:eastAsia="仿宋" w:cs="仿宋"/>
          <w:lang w:val="en-US" w:eastAsia="zh-CN"/>
        </w:rPr>
        <w:t>基础架构运维服务：</w:t>
      </w:r>
    </w:p>
    <w:p w14:paraId="7662526C">
      <w:pPr>
        <w:pStyle w:val="4"/>
        <w:rPr>
          <w:rFonts w:hint="eastAsia"/>
        </w:rPr>
      </w:pPr>
      <w:r>
        <w:rPr>
          <w:rFonts w:hint="eastAsia" w:ascii="仿宋" w:hAnsi="仿宋" w:eastAsia="仿宋" w:cs="仿宋"/>
          <w:color w:val="000000" w:themeColor="text1"/>
          <w:lang w:val="en-US" w:eastAsia="zh-CN"/>
          <w14:textFill>
            <w14:solidFill>
              <w14:schemeClr w14:val="tx1"/>
            </w14:solidFill>
          </w14:textFill>
        </w:rPr>
        <w:t>信息化机房运行维护服务</w:t>
      </w:r>
    </w:p>
    <w:p w14:paraId="3934B0E6">
      <w:pPr>
        <w:pStyle w:val="5"/>
        <w:rPr>
          <w:rFonts w:hint="eastAsia" w:ascii="仿宋" w:hAnsi="仿宋" w:eastAsia="仿宋" w:cs="仿宋"/>
        </w:rPr>
      </w:pPr>
      <w:r>
        <w:rPr>
          <w:rFonts w:hint="eastAsia" w:ascii="仿宋" w:hAnsi="仿宋" w:eastAsia="仿宋" w:cs="仿宋"/>
        </w:rPr>
        <w:t>维护设备清单</w:t>
      </w:r>
    </w:p>
    <w:p w14:paraId="3573442B">
      <w:pPr>
        <w:ind w:firstLine="500" w:firstLineChars="200"/>
        <w:rPr>
          <w:rFonts w:hint="eastAsia" w:ascii="仿宋" w:hAnsi="仿宋" w:eastAsia="仿宋" w:cs="仿宋"/>
          <w:spacing w:val="5"/>
          <w:szCs w:val="24"/>
          <w:lang w:eastAsia="zh-CN"/>
        </w:rPr>
      </w:pPr>
      <w:r>
        <w:rPr>
          <w:rFonts w:hint="eastAsia" w:ascii="仿宋" w:hAnsi="仿宋" w:eastAsia="仿宋" w:cs="仿宋"/>
          <w:spacing w:val="5"/>
          <w:szCs w:val="24"/>
        </w:rPr>
        <w:t>供应商针对清单设备提供技术支持服务，若硬件设备故障，供应商需及时告知院方，由院方采购，供应商提供安装实施技术支持服务</w:t>
      </w:r>
      <w:r>
        <w:rPr>
          <w:rFonts w:hint="eastAsia" w:ascii="仿宋" w:hAnsi="仿宋" w:eastAsia="仿宋" w:cs="仿宋"/>
          <w:spacing w:val="5"/>
          <w:szCs w:val="24"/>
          <w:lang w:eastAsia="zh-CN"/>
        </w:rPr>
        <w:t>。</w:t>
      </w:r>
    </w:p>
    <w:p w14:paraId="220AEC95">
      <w:pPr>
        <w:pStyle w:val="5"/>
        <w:rPr>
          <w:rFonts w:hint="eastAsia" w:ascii="仿宋" w:hAnsi="仿宋" w:eastAsia="仿宋" w:cs="仿宋"/>
          <w:spacing w:val="5"/>
          <w:szCs w:val="24"/>
        </w:rPr>
      </w:pPr>
      <w:r>
        <w:rPr>
          <w:rFonts w:hint="eastAsia" w:ascii="仿宋" w:hAnsi="仿宋" w:eastAsia="仿宋" w:cs="仿宋"/>
          <w:spacing w:val="5"/>
          <w:szCs w:val="24"/>
        </w:rPr>
        <w:t>人员驻场要求</w:t>
      </w:r>
    </w:p>
    <w:p w14:paraId="1822C422">
      <w:pPr>
        <w:ind w:firstLine="500" w:firstLineChars="200"/>
        <w:rPr>
          <w:rFonts w:hint="eastAsia" w:ascii="仿宋" w:hAnsi="仿宋" w:eastAsia="仿宋" w:cs="仿宋"/>
          <w:spacing w:val="5"/>
          <w:szCs w:val="24"/>
        </w:rPr>
      </w:pPr>
      <w:r>
        <w:rPr>
          <w:rFonts w:hint="eastAsia" w:ascii="仿宋" w:hAnsi="仿宋" w:eastAsia="仿宋" w:cs="仿宋"/>
          <w:spacing w:val="5"/>
          <w:szCs w:val="24"/>
        </w:rPr>
        <w:t>供应商需提供2名人员5*8小时驻场服务，其中1名为项目经理，另外1名为运维服务工程师。针对院方审判大数8楼以及诉服2楼两个机房内的400余台设备提供日常运维服务，其包含服务器、存储、虚拟化等机房内设备，按照硬件设备维护的需要，分成网络维护人员，服务器维护人员。</w:t>
      </w:r>
    </w:p>
    <w:p w14:paraId="08CB0214">
      <w:pPr>
        <w:ind w:firstLine="500" w:firstLineChars="200"/>
        <w:rPr>
          <w:rFonts w:hint="eastAsia" w:ascii="仿宋" w:hAnsi="仿宋" w:eastAsia="仿宋" w:cs="仿宋"/>
          <w:spacing w:val="5"/>
          <w:szCs w:val="24"/>
        </w:rPr>
      </w:pPr>
      <w:r>
        <w:rPr>
          <w:rFonts w:hint="eastAsia" w:ascii="仿宋" w:hAnsi="仿宋" w:eastAsia="仿宋" w:cs="仿宋"/>
          <w:spacing w:val="5"/>
          <w:szCs w:val="24"/>
        </w:rPr>
        <w:t>驻场人员需每天进行日常巡检及配置变更服务，并提供季度和年度巡检报告及优化改善建议。</w:t>
      </w:r>
    </w:p>
    <w:p w14:paraId="6F1B75CE">
      <w:pPr>
        <w:pStyle w:val="61"/>
        <w:numPr>
          <w:ilvl w:val="0"/>
          <w:numId w:val="4"/>
        </w:numPr>
        <w:ind w:firstLineChars="0"/>
        <w:rPr>
          <w:rFonts w:hint="eastAsia" w:ascii="仿宋" w:hAnsi="仿宋" w:eastAsia="仿宋" w:cs="仿宋"/>
          <w:b/>
          <w:bCs/>
          <w:spacing w:val="5"/>
          <w:szCs w:val="24"/>
        </w:rPr>
      </w:pPr>
      <w:r>
        <w:rPr>
          <w:rFonts w:hint="eastAsia" w:ascii="仿宋" w:hAnsi="仿宋" w:eastAsia="仿宋" w:cs="仿宋"/>
          <w:b/>
          <w:bCs/>
          <w:spacing w:val="5"/>
          <w:szCs w:val="24"/>
        </w:rPr>
        <w:t>驻场项目经理要求</w:t>
      </w:r>
    </w:p>
    <w:p w14:paraId="0B83570D">
      <w:pPr>
        <w:tabs>
          <w:tab w:val="left" w:pos="523"/>
        </w:tabs>
        <w:autoSpaceDE w:val="0"/>
        <w:autoSpaceDN w:val="0"/>
        <w:spacing w:before="31" w:line="350" w:lineRule="auto"/>
        <w:ind w:right="220"/>
        <w:jc w:val="left"/>
        <w:rPr>
          <w:rFonts w:hint="eastAsia" w:ascii="仿宋" w:hAnsi="仿宋" w:eastAsia="仿宋" w:cs="仿宋"/>
          <w:spacing w:val="5"/>
          <w:szCs w:val="24"/>
        </w:rPr>
      </w:pPr>
      <w:r>
        <w:rPr>
          <w:rFonts w:hint="eastAsia" w:ascii="仿宋" w:hAnsi="仿宋" w:eastAsia="仿宋" w:cs="仿宋"/>
          <w:spacing w:val="5"/>
          <w:szCs w:val="24"/>
        </w:rPr>
        <w:tab/>
      </w:r>
      <w:r>
        <w:rPr>
          <w:rFonts w:hint="eastAsia" w:ascii="仿宋" w:hAnsi="仿宋" w:eastAsia="仿宋" w:cs="仿宋"/>
          <w:spacing w:val="5"/>
          <w:szCs w:val="24"/>
        </w:rPr>
        <w:t>供应商驻场项目经理负责对整个服务团队的管理，并定期与院方协调沟通，保证服务质量。</w:t>
      </w:r>
    </w:p>
    <w:p w14:paraId="48AF40E6">
      <w:pPr>
        <w:tabs>
          <w:tab w:val="left" w:pos="523"/>
        </w:tabs>
        <w:autoSpaceDE w:val="0"/>
        <w:autoSpaceDN w:val="0"/>
        <w:spacing w:before="31" w:line="350" w:lineRule="auto"/>
        <w:ind w:right="220"/>
        <w:jc w:val="left"/>
        <w:rPr>
          <w:rFonts w:hint="eastAsia" w:ascii="仿宋" w:hAnsi="仿宋" w:eastAsia="仿宋" w:cs="仿宋"/>
          <w:spacing w:val="5"/>
          <w:szCs w:val="24"/>
        </w:rPr>
      </w:pPr>
      <w:r>
        <w:rPr>
          <w:rFonts w:hint="eastAsia" w:ascii="仿宋" w:hAnsi="仿宋" w:eastAsia="仿宋" w:cs="仿宋"/>
          <w:spacing w:val="5"/>
          <w:szCs w:val="24"/>
        </w:rPr>
        <w:tab/>
      </w:r>
      <w:r>
        <w:rPr>
          <w:rFonts w:hint="eastAsia" w:ascii="仿宋" w:hAnsi="仿宋" w:eastAsia="仿宋" w:cs="仿宋"/>
          <w:spacing w:val="5"/>
          <w:szCs w:val="24"/>
        </w:rPr>
        <w:t>对现场处理故障人员进行协商，并遵守院方的各项规章制度。保证服务团队人员充足，队伍稳定。</w:t>
      </w:r>
    </w:p>
    <w:p w14:paraId="065993B8">
      <w:pPr>
        <w:tabs>
          <w:tab w:val="left" w:pos="523"/>
        </w:tabs>
        <w:autoSpaceDE w:val="0"/>
        <w:autoSpaceDN w:val="0"/>
        <w:spacing w:before="31" w:line="350" w:lineRule="auto"/>
        <w:ind w:right="220"/>
        <w:jc w:val="left"/>
        <w:rPr>
          <w:rFonts w:hint="eastAsia" w:ascii="仿宋" w:hAnsi="仿宋" w:eastAsia="仿宋" w:cs="仿宋"/>
          <w:spacing w:val="5"/>
          <w:szCs w:val="24"/>
        </w:rPr>
      </w:pPr>
      <w:r>
        <w:rPr>
          <w:rFonts w:hint="eastAsia" w:ascii="仿宋" w:hAnsi="仿宋" w:eastAsia="仿宋" w:cs="仿宋"/>
          <w:spacing w:val="5"/>
          <w:szCs w:val="24"/>
        </w:rPr>
        <w:tab/>
      </w:r>
      <w:r>
        <w:rPr>
          <w:rFonts w:hint="eastAsia" w:ascii="仿宋" w:hAnsi="仿宋" w:eastAsia="仿宋" w:cs="仿宋"/>
          <w:spacing w:val="5"/>
          <w:szCs w:val="24"/>
        </w:rPr>
        <w:t>每季度召开一次运维团队内部工作会议，分析目前巡检检查情况，巡检中如果发现异常问题，分析异常原因并及时解决问题，记录上报。</w:t>
      </w:r>
    </w:p>
    <w:p w14:paraId="3584BD5B">
      <w:pPr>
        <w:tabs>
          <w:tab w:val="left" w:pos="523"/>
        </w:tabs>
        <w:autoSpaceDE w:val="0"/>
        <w:autoSpaceDN w:val="0"/>
        <w:spacing w:before="31" w:line="350" w:lineRule="auto"/>
        <w:ind w:right="220"/>
        <w:jc w:val="left"/>
        <w:rPr>
          <w:rFonts w:hint="eastAsia" w:ascii="仿宋" w:hAnsi="仿宋" w:eastAsia="仿宋" w:cs="仿宋"/>
          <w:spacing w:val="5"/>
          <w:szCs w:val="24"/>
        </w:rPr>
      </w:pPr>
      <w:r>
        <w:rPr>
          <w:rFonts w:hint="eastAsia" w:ascii="仿宋" w:hAnsi="仿宋" w:eastAsia="仿宋" w:cs="仿宋"/>
          <w:spacing w:val="5"/>
          <w:szCs w:val="24"/>
        </w:rPr>
        <w:tab/>
      </w:r>
      <w:r>
        <w:rPr>
          <w:rFonts w:hint="eastAsia" w:ascii="仿宋" w:hAnsi="仿宋" w:eastAsia="仿宋" w:cs="仿宋"/>
          <w:spacing w:val="5"/>
          <w:szCs w:val="24"/>
        </w:rPr>
        <w:t>每年总结分析全年设备运行情况、服务统计等内容，并向院方进行正式的总结性汇报。</w:t>
      </w:r>
    </w:p>
    <w:p w14:paraId="406118C9">
      <w:pPr>
        <w:pStyle w:val="61"/>
        <w:numPr>
          <w:ilvl w:val="0"/>
          <w:numId w:val="4"/>
        </w:numPr>
        <w:ind w:firstLineChars="0"/>
        <w:rPr>
          <w:rFonts w:hint="eastAsia" w:ascii="仿宋" w:hAnsi="仿宋" w:eastAsia="仿宋" w:cs="仿宋"/>
          <w:b/>
          <w:bCs/>
          <w:spacing w:val="5"/>
          <w:szCs w:val="24"/>
        </w:rPr>
      </w:pPr>
      <w:r>
        <w:rPr>
          <w:rFonts w:hint="eastAsia" w:ascii="仿宋" w:hAnsi="仿宋" w:eastAsia="仿宋" w:cs="仿宋"/>
          <w:b/>
          <w:bCs/>
          <w:spacing w:val="5"/>
          <w:szCs w:val="24"/>
        </w:rPr>
        <w:t>驻场运维服务工程师要求</w:t>
      </w:r>
    </w:p>
    <w:p w14:paraId="6800B0DB">
      <w:pPr>
        <w:ind w:firstLine="420"/>
        <w:rPr>
          <w:rFonts w:hint="eastAsia" w:ascii="仿宋" w:hAnsi="仿宋" w:eastAsia="仿宋" w:cs="仿宋"/>
          <w:spacing w:val="5"/>
          <w:szCs w:val="24"/>
        </w:rPr>
      </w:pPr>
      <w:r>
        <w:rPr>
          <w:rFonts w:hint="eastAsia" w:ascii="仿宋" w:hAnsi="仿宋" w:eastAsia="仿宋" w:cs="仿宋"/>
          <w:spacing w:val="5"/>
          <w:szCs w:val="24"/>
        </w:rPr>
        <w:t>供应商驻场运维服务工程师负责每天一次数据中心设备运行情况巡检，核查并记录所有设备的运行状况。</w:t>
      </w:r>
    </w:p>
    <w:p w14:paraId="7D8DB997">
      <w:pPr>
        <w:ind w:firstLine="420"/>
        <w:rPr>
          <w:rFonts w:hint="eastAsia" w:ascii="仿宋" w:hAnsi="仿宋" w:eastAsia="仿宋" w:cs="仿宋"/>
          <w:spacing w:val="5"/>
          <w:szCs w:val="24"/>
        </w:rPr>
      </w:pPr>
      <w:r>
        <w:rPr>
          <w:rFonts w:hint="eastAsia" w:ascii="仿宋" w:hAnsi="仿宋" w:eastAsia="仿宋" w:cs="仿宋"/>
          <w:spacing w:val="5"/>
          <w:szCs w:val="24"/>
        </w:rPr>
        <w:t>每周一次数据中心整体业务系统架构设备巡检，及时消除故障隐患，确保系统健康运行。</w:t>
      </w:r>
    </w:p>
    <w:p w14:paraId="4115D59C">
      <w:pPr>
        <w:ind w:firstLine="420"/>
        <w:rPr>
          <w:rFonts w:hint="eastAsia" w:ascii="仿宋" w:hAnsi="仿宋" w:eastAsia="仿宋" w:cs="仿宋"/>
          <w:spacing w:val="5"/>
          <w:szCs w:val="24"/>
        </w:rPr>
      </w:pPr>
      <w:r>
        <w:rPr>
          <w:rFonts w:hint="eastAsia" w:ascii="仿宋" w:hAnsi="仿宋" w:eastAsia="仿宋" w:cs="仿宋"/>
          <w:spacing w:val="5"/>
          <w:szCs w:val="24"/>
        </w:rPr>
        <w:t>每月一次数据中心基础环境设备巡检，包含UPS及电池、精密空调、消防设备、动环设备等，及时消除故障隐患，确保系统健康运行。</w:t>
      </w:r>
    </w:p>
    <w:p w14:paraId="7DB08FF8">
      <w:pPr>
        <w:ind w:firstLine="420"/>
        <w:rPr>
          <w:rFonts w:hint="eastAsia" w:ascii="仿宋" w:hAnsi="仿宋" w:eastAsia="仿宋" w:cs="仿宋"/>
          <w:spacing w:val="5"/>
          <w:szCs w:val="24"/>
        </w:rPr>
      </w:pPr>
      <w:r>
        <w:rPr>
          <w:rFonts w:hint="eastAsia" w:ascii="仿宋" w:hAnsi="仿宋" w:eastAsia="仿宋" w:cs="仿宋"/>
          <w:spacing w:val="5"/>
          <w:szCs w:val="24"/>
        </w:rPr>
        <w:t>每季度现场一次资产盘点，检查所有信息化设备硬件、软件和配置的基本情况。</w:t>
      </w:r>
    </w:p>
    <w:p w14:paraId="7990162D">
      <w:pPr>
        <w:ind w:firstLine="420"/>
        <w:rPr>
          <w:rFonts w:hint="eastAsia" w:ascii="仿宋" w:hAnsi="仿宋" w:eastAsia="仿宋" w:cs="仿宋"/>
          <w:spacing w:val="5"/>
          <w:szCs w:val="24"/>
        </w:rPr>
      </w:pPr>
      <w:r>
        <w:rPr>
          <w:rFonts w:hint="eastAsia" w:ascii="仿宋" w:hAnsi="仿宋" w:eastAsia="仿宋" w:cs="仿宋"/>
          <w:spacing w:val="5"/>
          <w:szCs w:val="24"/>
        </w:rPr>
        <w:t>每年现场一次对信息系统中所有的网络设备、安全设备进行链路检查，及时发现网络链路中的调整，标签标识变更以及物理线路故障隐患。</w:t>
      </w:r>
    </w:p>
    <w:p w14:paraId="4EA8B893">
      <w:pPr>
        <w:pStyle w:val="5"/>
        <w:rPr>
          <w:rFonts w:hint="eastAsia" w:ascii="仿宋" w:hAnsi="仿宋" w:eastAsia="仿宋" w:cs="仿宋"/>
          <w:spacing w:val="5"/>
          <w:szCs w:val="24"/>
        </w:rPr>
      </w:pPr>
      <w:bookmarkStart w:id="2" w:name="_Hlk61366075"/>
      <w:r>
        <w:rPr>
          <w:rFonts w:hint="eastAsia" w:ascii="仿宋" w:hAnsi="仿宋" w:eastAsia="仿宋" w:cs="仿宋"/>
          <w:spacing w:val="5"/>
          <w:szCs w:val="24"/>
        </w:rPr>
        <w:t>服务器维护要求</w:t>
      </w:r>
    </w:p>
    <w:p w14:paraId="0A53A21D">
      <w:pPr>
        <w:ind w:firstLine="480" w:firstLineChars="200"/>
        <w:jc w:val="left"/>
        <w:rPr>
          <w:rFonts w:hint="eastAsia" w:ascii="仿宋" w:hAnsi="仿宋" w:eastAsia="仿宋" w:cs="仿宋"/>
        </w:rPr>
      </w:pPr>
      <w:r>
        <w:rPr>
          <w:rFonts w:hint="eastAsia" w:ascii="仿宋" w:hAnsi="仿宋" w:eastAsia="仿宋" w:cs="仿宋"/>
        </w:rPr>
        <w:t>在服务期内,要求驻场服务工程师每天通过巡检方式对现有服务器的状态进行定期检查。设备的状态检查分为硬件状态检查和软件状态检查。其中硬件状态检查主要检查设备的指示灯、供电系统、连接线缆、散热系统、工作环境温湿度等；软件状态检查主要检查设备的CPU使用率、内存使用率、网络带宽使用率、网络延迟、网络连通性、流畅性等。若发现异常现场，将及时进行记录并向院方提出解决方案。</w:t>
      </w:r>
    </w:p>
    <w:p w14:paraId="66A77F55">
      <w:pPr>
        <w:ind w:firstLine="480" w:firstLineChars="200"/>
        <w:jc w:val="left"/>
        <w:rPr>
          <w:rFonts w:hint="eastAsia" w:ascii="仿宋" w:hAnsi="仿宋" w:eastAsia="仿宋" w:cs="仿宋"/>
        </w:rPr>
      </w:pPr>
      <w:r>
        <w:rPr>
          <w:rFonts w:hint="eastAsia" w:ascii="仿宋" w:hAnsi="仿宋" w:eastAsia="仿宋" w:cs="仿宋"/>
        </w:rPr>
        <w:t>通过日常巡检工作如果发现服务器系统出现了软件故障，负责排查和处理，并将故障排查、处理结果进行记录，提交给院方相关人员。若为</w:t>
      </w:r>
      <w:bookmarkStart w:id="3" w:name="_Toc5094"/>
      <w:bookmarkStart w:id="4" w:name="_Toc500509398"/>
      <w:r>
        <w:rPr>
          <w:rFonts w:hint="eastAsia" w:ascii="仿宋" w:hAnsi="仿宋" w:eastAsia="仿宋" w:cs="仿宋"/>
        </w:rPr>
        <w:t>主机设备的硬件故障，巡检人员需告知院方，并提出故障修复意见。具体服务内容如下：</w:t>
      </w:r>
    </w:p>
    <w:p w14:paraId="4002723E">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每天通过巡检方式对现有服务器的运行状态、性能监测检查及日志分析，以及服务器进程、服务、磁盘性能等监控及检查。</w:t>
      </w:r>
    </w:p>
    <w:p w14:paraId="3F611221">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根据需要完成服务器的上架、系统安装、网络连通基本服务。</w:t>
      </w:r>
    </w:p>
    <w:p w14:paraId="041D1664">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制定应用服务上线流程规范，规定应用部署的位置及命名。</w:t>
      </w:r>
    </w:p>
    <w:p w14:paraId="289C52C1">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定期对维护中产生的安全事故进行阶段性总结，提出安全优化方案及实施计划并进行实施。</w:t>
      </w:r>
    </w:p>
    <w:p w14:paraId="62D697A9">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协助系统开发商对应用（含数据库）迁移、架设、备份服务。</w:t>
      </w:r>
    </w:p>
    <w:p w14:paraId="4AFE85B9">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负责虚拟机的建立、迁移、资源分配等服务。</w:t>
      </w:r>
    </w:p>
    <w:p w14:paraId="3BB9E2FF">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负责平台的统一管理，包括入驻审核、资源分配、权限管理等。</w:t>
      </w:r>
    </w:p>
    <w:p w14:paraId="20437B77">
      <w:pPr>
        <w:pStyle w:val="5"/>
        <w:rPr>
          <w:rFonts w:hint="eastAsia" w:ascii="仿宋" w:hAnsi="仿宋" w:eastAsia="仿宋" w:cs="仿宋"/>
        </w:rPr>
      </w:pPr>
      <w:r>
        <w:rPr>
          <w:rFonts w:hint="eastAsia" w:ascii="仿宋" w:hAnsi="仿宋" w:eastAsia="仿宋" w:cs="仿宋"/>
        </w:rPr>
        <w:t>网络维护要求</w:t>
      </w:r>
    </w:p>
    <w:p w14:paraId="7287DDFC">
      <w:pPr>
        <w:ind w:firstLine="480" w:firstLineChars="200"/>
        <w:jc w:val="left"/>
        <w:rPr>
          <w:rFonts w:hint="eastAsia" w:ascii="仿宋" w:hAnsi="仿宋" w:eastAsia="仿宋" w:cs="仿宋"/>
        </w:rPr>
      </w:pPr>
      <w:r>
        <w:rPr>
          <w:rFonts w:hint="eastAsia" w:ascii="仿宋" w:hAnsi="仿宋" w:eastAsia="仿宋" w:cs="仿宋"/>
        </w:rPr>
        <w:t>在服务期内,要求驻场服务工程师通过对网络现状的梳理，对现有网络设备严格按照相应的规范（比如，设备上架安装规范、系统命名规则、接口描述、安全策略配置、密码复杂要求等）。同时，在每一个在用的物理接口，当接口连接发生变更时及时更改描述信息，确保描述信息的真实、准确，方便后期线路的维护及故障的排除。</w:t>
      </w:r>
    </w:p>
    <w:p w14:paraId="484972E7">
      <w:pPr>
        <w:ind w:firstLine="480" w:firstLineChars="200"/>
        <w:jc w:val="left"/>
        <w:rPr>
          <w:rFonts w:hint="eastAsia" w:ascii="仿宋" w:hAnsi="仿宋" w:eastAsia="仿宋" w:cs="仿宋"/>
        </w:rPr>
      </w:pPr>
      <w:r>
        <w:rPr>
          <w:rFonts w:hint="eastAsia" w:ascii="仿宋" w:hAnsi="仿宋" w:eastAsia="仿宋" w:cs="仿宋"/>
        </w:rPr>
        <w:t>在网络设备投入使用之后，对主要配置进行备份。其主要目的是为了在发生紧急情况时，能够通过还原之前备案的配置快速的排除故障，使网络设备恢复正常运行。同时，通过之前备案的配置与网络设备当前的配置进行对比，查看设备配置所发生的变化。每周定期或发生变更时对网络设备配置文件备份一次。</w:t>
      </w:r>
    </w:p>
    <w:p w14:paraId="595B6247">
      <w:pPr>
        <w:ind w:firstLine="480" w:firstLineChars="200"/>
        <w:jc w:val="left"/>
        <w:rPr>
          <w:rFonts w:hint="eastAsia" w:ascii="仿宋" w:hAnsi="仿宋" w:eastAsia="仿宋" w:cs="仿宋"/>
        </w:rPr>
      </w:pPr>
      <w:r>
        <w:rPr>
          <w:rFonts w:hint="eastAsia" w:ascii="仿宋" w:hAnsi="仿宋" w:eastAsia="仿宋" w:cs="仿宋"/>
        </w:rPr>
        <w:t>在日常维护期间，通过技术手段对网络发生的故障，包括链路、设备故障、网络安全系统问题等要进行及时判断和响应，快速处理，确保网络运转正常。</w:t>
      </w:r>
    </w:p>
    <w:bookmarkEnd w:id="3"/>
    <w:bookmarkEnd w:id="4"/>
    <w:p w14:paraId="76E46A65">
      <w:pPr>
        <w:pStyle w:val="5"/>
        <w:rPr>
          <w:rFonts w:hint="eastAsia" w:ascii="仿宋" w:hAnsi="仿宋" w:eastAsia="仿宋" w:cs="仿宋"/>
          <w:spacing w:val="5"/>
          <w:szCs w:val="24"/>
        </w:rPr>
      </w:pPr>
      <w:bookmarkStart w:id="5" w:name="_Toc12494"/>
      <w:bookmarkStart w:id="6" w:name="_Toc500880576"/>
      <w:bookmarkStart w:id="7" w:name="_Toc23492"/>
      <w:bookmarkStart w:id="8" w:name="_Toc500509399"/>
      <w:bookmarkStart w:id="9" w:name="_Toc5226"/>
      <w:bookmarkStart w:id="10" w:name="_Toc56757612"/>
      <w:r>
        <w:rPr>
          <w:rFonts w:hint="eastAsia" w:ascii="仿宋" w:hAnsi="仿宋" w:eastAsia="仿宋" w:cs="仿宋"/>
          <w:spacing w:val="5"/>
          <w:szCs w:val="24"/>
        </w:rPr>
        <w:t>存储</w:t>
      </w:r>
      <w:bookmarkEnd w:id="5"/>
      <w:bookmarkEnd w:id="6"/>
      <w:bookmarkEnd w:id="7"/>
      <w:bookmarkEnd w:id="8"/>
      <w:bookmarkEnd w:id="9"/>
      <w:bookmarkEnd w:id="10"/>
      <w:r>
        <w:rPr>
          <w:rFonts w:hint="eastAsia" w:ascii="仿宋" w:hAnsi="仿宋" w:eastAsia="仿宋" w:cs="仿宋"/>
          <w:spacing w:val="5"/>
          <w:szCs w:val="24"/>
        </w:rPr>
        <w:t>维护要求</w:t>
      </w:r>
    </w:p>
    <w:p w14:paraId="1BB3499B">
      <w:pPr>
        <w:ind w:firstLine="480" w:firstLineChars="200"/>
        <w:jc w:val="left"/>
        <w:rPr>
          <w:rFonts w:hint="eastAsia" w:ascii="仿宋" w:hAnsi="仿宋" w:eastAsia="仿宋" w:cs="仿宋"/>
        </w:rPr>
      </w:pPr>
      <w:r>
        <w:rPr>
          <w:rFonts w:hint="eastAsia" w:ascii="仿宋" w:hAnsi="仿宋" w:eastAsia="仿宋" w:cs="仿宋"/>
        </w:rPr>
        <w:t>在服务期内,要求驻场服务工程师定期检查存储系统各设备的硬件运行状态，软件运行状态等，具体服务内容如下：</w:t>
      </w:r>
    </w:p>
    <w:p w14:paraId="72A78756">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每日对存储硬件状态进行检查，确保存储硬件工作正常。</w:t>
      </w:r>
    </w:p>
    <w:p w14:paraId="221D8A9D">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通过分析存储空间的使用情况，结合业务的实际情况，分析数据存储趋势。</w:t>
      </w:r>
    </w:p>
    <w:p w14:paraId="1315043B">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通过对存储设备的任务状态检查，检查备份任务是否成功完成、在备份的过程中是否存在相关告警信息等。</w:t>
      </w:r>
    </w:p>
    <w:p w14:paraId="53C3F12D">
      <w:pPr>
        <w:ind w:firstLine="480" w:firstLineChars="200"/>
        <w:rPr>
          <w:rFonts w:hint="eastAsia" w:ascii="仿宋" w:hAnsi="仿宋" w:eastAsia="仿宋" w:cs="仿宋"/>
          <w:spacing w:val="5"/>
          <w:szCs w:val="24"/>
        </w:rPr>
      </w:pPr>
      <w:r>
        <w:rPr>
          <w:rFonts w:hint="eastAsia" w:ascii="仿宋" w:hAnsi="仿宋" w:eastAsia="仿宋" w:cs="仿宋"/>
        </w:rPr>
        <w:t>当业务数据出现丢失、损坏时，配合业务厂商进行数据的恢复操作</w:t>
      </w:r>
      <w:bookmarkEnd w:id="2"/>
      <w:r>
        <w:rPr>
          <w:rFonts w:hint="eastAsia" w:ascii="仿宋" w:hAnsi="仿宋" w:eastAsia="仿宋" w:cs="仿宋"/>
        </w:rPr>
        <w:t>。</w:t>
      </w:r>
    </w:p>
    <w:p w14:paraId="3361504A">
      <w:pPr>
        <w:pStyle w:val="5"/>
        <w:rPr>
          <w:rFonts w:hint="eastAsia" w:ascii="仿宋" w:hAnsi="仿宋" w:eastAsia="仿宋" w:cs="仿宋"/>
        </w:rPr>
      </w:pPr>
      <w:r>
        <w:rPr>
          <w:rFonts w:hint="eastAsia" w:ascii="仿宋" w:hAnsi="仿宋" w:eastAsia="仿宋" w:cs="仿宋"/>
        </w:rPr>
        <w:t>虚拟化维护要求</w:t>
      </w:r>
    </w:p>
    <w:p w14:paraId="19DAF130">
      <w:pPr>
        <w:pStyle w:val="6"/>
        <w:rPr>
          <w:rFonts w:hint="eastAsia" w:ascii="仿宋" w:hAnsi="仿宋" w:eastAsia="仿宋" w:cs="仿宋"/>
        </w:rPr>
      </w:pPr>
      <w:r>
        <w:rPr>
          <w:rFonts w:hint="eastAsia" w:ascii="仿宋" w:hAnsi="仿宋" w:eastAsia="仿宋" w:cs="仿宋"/>
        </w:rPr>
        <w:t>日常维护</w:t>
      </w:r>
    </w:p>
    <w:p w14:paraId="01FBB53E">
      <w:pPr>
        <w:ind w:firstLine="480" w:firstLineChars="200"/>
        <w:rPr>
          <w:rFonts w:hint="eastAsia" w:ascii="仿宋" w:hAnsi="仿宋" w:eastAsia="仿宋" w:cs="仿宋"/>
          <w:color w:val="000000"/>
          <w:szCs w:val="24"/>
        </w:rPr>
      </w:pPr>
      <w:r>
        <w:rPr>
          <w:rFonts w:hint="eastAsia" w:ascii="仿宋" w:hAnsi="仿宋" w:eastAsia="仿宋" w:cs="仿宋"/>
          <w:color w:val="000000"/>
          <w:szCs w:val="24"/>
        </w:rPr>
        <w:t>供应商需提供虚拟化平台的日常运维服务，服务内容主要包含：季度巡检、系统调试及优化、权限管理、告警信息确认与处理、架构调整等</w:t>
      </w:r>
      <w:r>
        <w:rPr>
          <w:rFonts w:hint="eastAsia" w:ascii="仿宋" w:hAnsi="仿宋" w:eastAsia="仿宋" w:cs="仿宋"/>
        </w:rPr>
        <w:t>（不涉及软件授权）</w:t>
      </w:r>
      <w:r>
        <w:rPr>
          <w:rFonts w:hint="eastAsia" w:ascii="仿宋" w:hAnsi="仿宋" w:eastAsia="仿宋" w:cs="仿宋"/>
          <w:color w:val="000000"/>
          <w:szCs w:val="24"/>
        </w:rPr>
        <w:t>。</w:t>
      </w:r>
    </w:p>
    <w:p w14:paraId="1D9FD412">
      <w:pPr>
        <w:pStyle w:val="6"/>
        <w:rPr>
          <w:rFonts w:hint="eastAsia" w:ascii="仿宋" w:hAnsi="仿宋" w:eastAsia="仿宋" w:cs="仿宋"/>
        </w:rPr>
      </w:pPr>
      <w:r>
        <w:rPr>
          <w:rFonts w:hint="eastAsia" w:ascii="仿宋" w:hAnsi="仿宋" w:eastAsia="仿宋" w:cs="仿宋"/>
        </w:rPr>
        <w:t>季度巡检</w:t>
      </w:r>
    </w:p>
    <w:p w14:paraId="52582394">
      <w:pPr>
        <w:ind w:firstLine="480" w:firstLineChars="200"/>
        <w:rPr>
          <w:rFonts w:hint="eastAsia" w:ascii="仿宋" w:hAnsi="仿宋" w:eastAsia="仿宋" w:cs="仿宋"/>
          <w:szCs w:val="24"/>
        </w:rPr>
      </w:pPr>
      <w:r>
        <w:rPr>
          <w:rFonts w:hint="eastAsia" w:ascii="仿宋" w:hAnsi="仿宋" w:eastAsia="仿宋" w:cs="仿宋"/>
          <w:szCs w:val="24"/>
        </w:rPr>
        <w:t>每季度（巡检方式分为现场或通过远程的方式），针对虚拟化平台进行巡检。巡检内容包括：</w:t>
      </w:r>
    </w:p>
    <w:p w14:paraId="4BF491B3">
      <w:pPr>
        <w:ind w:firstLine="480" w:firstLineChars="200"/>
        <w:rPr>
          <w:rFonts w:hint="eastAsia" w:ascii="仿宋" w:hAnsi="仿宋" w:eastAsia="仿宋" w:cs="仿宋"/>
          <w:szCs w:val="24"/>
        </w:rPr>
      </w:pPr>
      <w:r>
        <w:rPr>
          <w:rFonts w:hint="eastAsia" w:ascii="仿宋" w:hAnsi="仿宋" w:eastAsia="仿宋" w:cs="仿宋"/>
          <w:szCs w:val="24"/>
        </w:rPr>
        <w:t>平台整体响应情况、告警信息处理（非红标告警）、日志收集、硬件设备运行情况、虚拟机部署情况、资源使用情况、虚拟机操作记录、人员登录情况、管理员权限分配情况等。每次巡检完毕后的五个工作日内提供详细的巡检报告，报告包括CPU、内存、磁盘（存储）、告警、备份等各项指标的详细参数。并针对每次巡检结果给出合理化的调整意见（如出现需要调整的情况）。如有必要进行优化调整，则还会出具具体的调整方案，并双方协调具体的优化实施事宜。</w:t>
      </w:r>
    </w:p>
    <w:p w14:paraId="21044621">
      <w:pPr>
        <w:pStyle w:val="6"/>
        <w:rPr>
          <w:rFonts w:hint="eastAsia" w:ascii="仿宋" w:hAnsi="仿宋" w:eastAsia="仿宋" w:cs="仿宋"/>
        </w:rPr>
      </w:pPr>
      <w:r>
        <w:rPr>
          <w:rFonts w:hint="eastAsia" w:ascii="仿宋" w:hAnsi="仿宋" w:eastAsia="仿宋" w:cs="仿宋"/>
        </w:rPr>
        <w:t>系统调试与优化</w:t>
      </w:r>
    </w:p>
    <w:p w14:paraId="1978E1ED">
      <w:pPr>
        <w:ind w:firstLine="480" w:firstLineChars="200"/>
        <w:rPr>
          <w:rFonts w:hint="eastAsia" w:ascii="仿宋" w:hAnsi="仿宋" w:eastAsia="仿宋" w:cs="仿宋"/>
          <w:szCs w:val="24"/>
        </w:rPr>
      </w:pPr>
      <w:r>
        <w:rPr>
          <w:rFonts w:hint="eastAsia" w:ascii="仿宋" w:hAnsi="仿宋" w:eastAsia="仿宋" w:cs="仿宋"/>
          <w:szCs w:val="24"/>
        </w:rPr>
        <w:t>供应商需协助招标方对新系统的上线、虚拟机的资源调整、网络环境的调整进行配合。新系统上线，供应商需协助招标方按要求建立新虚拟机。针对在使用的虚拟机，调整其资源。例如内存、磁盘空间、CPU等。整体网络结构需要调整，供应商需进行技术协助，保证在网络调整期间虚拟化平台能够正常运行，不影响业务应用。</w:t>
      </w:r>
    </w:p>
    <w:p w14:paraId="036A8240">
      <w:pPr>
        <w:pStyle w:val="6"/>
        <w:rPr>
          <w:rFonts w:hint="eastAsia" w:ascii="仿宋" w:hAnsi="仿宋" w:eastAsia="仿宋" w:cs="仿宋"/>
        </w:rPr>
      </w:pPr>
      <w:r>
        <w:rPr>
          <w:rFonts w:hint="eastAsia" w:ascii="仿宋" w:hAnsi="仿宋" w:eastAsia="仿宋" w:cs="仿宋"/>
        </w:rPr>
        <w:t>权限管理</w:t>
      </w:r>
    </w:p>
    <w:p w14:paraId="2943920E">
      <w:pPr>
        <w:ind w:firstLine="480" w:firstLineChars="200"/>
        <w:rPr>
          <w:rFonts w:hint="eastAsia" w:ascii="仿宋" w:hAnsi="仿宋" w:eastAsia="仿宋" w:cs="仿宋"/>
          <w:szCs w:val="24"/>
        </w:rPr>
      </w:pPr>
      <w:r>
        <w:rPr>
          <w:rFonts w:hint="eastAsia" w:ascii="仿宋" w:hAnsi="仿宋" w:eastAsia="仿宋" w:cs="仿宋"/>
          <w:szCs w:val="24"/>
        </w:rPr>
        <w:t>从安全的角度出发，供应商配合制定虚拟化平台的安全管理办法。严格管理登录到虚拟化平台的账号以及对应的权限。其作用就是最大限度的保障虚拟化平台的稳定性与数据的安全。</w:t>
      </w:r>
    </w:p>
    <w:p w14:paraId="7B9C15DC">
      <w:pPr>
        <w:pStyle w:val="6"/>
        <w:rPr>
          <w:rFonts w:hint="eastAsia" w:ascii="仿宋" w:hAnsi="仿宋" w:eastAsia="仿宋" w:cs="仿宋"/>
        </w:rPr>
      </w:pPr>
      <w:r>
        <w:rPr>
          <w:rFonts w:hint="eastAsia" w:ascii="仿宋" w:hAnsi="仿宋" w:eastAsia="仿宋" w:cs="仿宋"/>
        </w:rPr>
        <w:t>告警信息确认与处理</w:t>
      </w:r>
    </w:p>
    <w:p w14:paraId="5EE56C15">
      <w:pPr>
        <w:ind w:firstLine="480" w:firstLineChars="200"/>
        <w:rPr>
          <w:rFonts w:hint="eastAsia" w:ascii="仿宋" w:hAnsi="仿宋" w:eastAsia="仿宋" w:cs="仿宋"/>
          <w:szCs w:val="24"/>
        </w:rPr>
      </w:pPr>
      <w:r>
        <w:rPr>
          <w:rFonts w:hint="eastAsia" w:ascii="仿宋" w:hAnsi="仿宋" w:eastAsia="仿宋" w:cs="仿宋"/>
          <w:szCs w:val="24"/>
        </w:rPr>
        <w:t>非事故类告警供应商可在季度巡检时解决与处理。对于红色的紧急情况告警，供应商必须启动应急事故预案，在第一时间内解决。</w:t>
      </w:r>
    </w:p>
    <w:p w14:paraId="7A60102B">
      <w:pPr>
        <w:pStyle w:val="6"/>
        <w:rPr>
          <w:rFonts w:hint="eastAsia" w:ascii="仿宋" w:hAnsi="仿宋" w:eastAsia="仿宋" w:cs="仿宋"/>
        </w:rPr>
      </w:pPr>
      <w:r>
        <w:rPr>
          <w:rFonts w:hint="eastAsia" w:ascii="仿宋" w:hAnsi="仿宋" w:eastAsia="仿宋" w:cs="仿宋"/>
        </w:rPr>
        <w:t>架构调整</w:t>
      </w:r>
    </w:p>
    <w:p w14:paraId="54823067">
      <w:pPr>
        <w:ind w:firstLine="480" w:firstLineChars="200"/>
        <w:rPr>
          <w:rFonts w:hint="eastAsia" w:ascii="仿宋" w:hAnsi="仿宋" w:eastAsia="仿宋" w:cs="仿宋"/>
          <w:szCs w:val="24"/>
        </w:rPr>
      </w:pPr>
      <w:r>
        <w:rPr>
          <w:rFonts w:hint="eastAsia" w:ascii="仿宋" w:hAnsi="仿宋" w:eastAsia="仿宋" w:cs="仿宋"/>
          <w:szCs w:val="24"/>
        </w:rPr>
        <w:t>在运维合同有效期内，供应商需针对现有的虚拟化平台架构进行整体评估。如果发现架构中存在影响虚拟化平台稳定性的设计，供应商需提出修改意见。如果需要进行整改，供应商都将配合进行调整。调整期间虚拟化平台持续运行且运行正常。</w:t>
      </w:r>
    </w:p>
    <w:p w14:paraId="720B5A02">
      <w:pPr>
        <w:pStyle w:val="5"/>
        <w:rPr>
          <w:rFonts w:hint="eastAsia" w:ascii="仿宋" w:hAnsi="仿宋" w:eastAsia="仿宋" w:cs="仿宋"/>
        </w:rPr>
      </w:pPr>
      <w:r>
        <w:rPr>
          <w:rFonts w:hint="eastAsia" w:ascii="仿宋" w:hAnsi="仿宋" w:eastAsia="仿宋" w:cs="仿宋"/>
        </w:rPr>
        <w:t>重要事件的现场值守服务</w:t>
      </w:r>
    </w:p>
    <w:p w14:paraId="4B2F40D9">
      <w:pPr>
        <w:tabs>
          <w:tab w:val="left" w:pos="1020"/>
        </w:tabs>
        <w:autoSpaceDE w:val="0"/>
        <w:autoSpaceDN w:val="0"/>
        <w:spacing w:before="125" w:line="348" w:lineRule="auto"/>
        <w:ind w:right="220" w:firstLine="500" w:firstLineChars="200"/>
        <w:jc w:val="left"/>
        <w:rPr>
          <w:rFonts w:hint="eastAsia" w:ascii="仿宋" w:hAnsi="仿宋" w:eastAsia="仿宋" w:cs="仿宋"/>
          <w:spacing w:val="5"/>
          <w:szCs w:val="24"/>
        </w:rPr>
      </w:pPr>
      <w:r>
        <w:rPr>
          <w:rFonts w:hint="eastAsia" w:ascii="仿宋" w:hAnsi="仿宋" w:eastAsia="仿宋" w:cs="仿宋"/>
          <w:spacing w:val="5"/>
          <w:szCs w:val="24"/>
        </w:rPr>
        <w:t>在特殊时段、敏感时期和突发事件时，供应商工程师必须按采购人的要求坚守岗位，提供应急现场值守服务。在发生应急事件时（包括非工作时间），供应商工程师要迅速查明事件原因，迅速应急处理，并负责联系供应商相关工程师或相关厂商在规定时间内到达现场提供服务。</w:t>
      </w:r>
    </w:p>
    <w:p w14:paraId="62F594BF">
      <w:pPr>
        <w:pStyle w:val="5"/>
        <w:rPr>
          <w:rFonts w:hint="eastAsia" w:ascii="仿宋" w:hAnsi="仿宋" w:eastAsia="仿宋" w:cs="仿宋"/>
          <w:color w:val="000000"/>
          <w:szCs w:val="24"/>
        </w:rPr>
      </w:pPr>
      <w:r>
        <w:rPr>
          <w:rFonts w:hint="eastAsia" w:ascii="仿宋" w:hAnsi="仿宋" w:eastAsia="仿宋" w:cs="仿宋"/>
        </w:rPr>
        <w:t>巡检服务要求</w:t>
      </w:r>
      <w:r>
        <w:rPr>
          <w:rFonts w:hint="eastAsia" w:ascii="仿宋" w:hAnsi="仿宋" w:eastAsia="仿宋" w:cs="仿宋"/>
          <w:color w:val="000000"/>
          <w:szCs w:val="24"/>
        </w:rPr>
        <w:t xml:space="preserve">                                                                        </w:t>
      </w:r>
    </w:p>
    <w:p w14:paraId="539AD82F">
      <w:pPr>
        <w:tabs>
          <w:tab w:val="left" w:pos="1020"/>
        </w:tabs>
        <w:autoSpaceDE w:val="0"/>
        <w:autoSpaceDN w:val="0"/>
        <w:spacing w:before="125" w:line="348" w:lineRule="auto"/>
        <w:ind w:right="220" w:firstLine="500" w:firstLineChars="200"/>
        <w:jc w:val="left"/>
        <w:rPr>
          <w:rFonts w:hint="eastAsia" w:ascii="仿宋" w:hAnsi="仿宋" w:eastAsia="仿宋" w:cs="仿宋"/>
          <w:spacing w:val="5"/>
          <w:szCs w:val="24"/>
        </w:rPr>
      </w:pPr>
      <w:r>
        <w:rPr>
          <w:rFonts w:hint="eastAsia" w:ascii="仿宋" w:hAnsi="仿宋" w:eastAsia="仿宋" w:cs="仿宋"/>
          <w:spacing w:val="5"/>
          <w:szCs w:val="24"/>
        </w:rPr>
        <w:t>供应商应定期对服务范围内的软硬件设备提供巡检服务，并详细记录每一项巡检服务内容的检查情况及有关指标参数。</w:t>
      </w:r>
    </w:p>
    <w:p w14:paraId="40381124">
      <w:pPr>
        <w:pStyle w:val="6"/>
        <w:rPr>
          <w:rFonts w:hint="eastAsia" w:ascii="仿宋" w:hAnsi="仿宋" w:eastAsia="仿宋" w:cs="仿宋"/>
        </w:rPr>
      </w:pPr>
      <w:r>
        <w:rPr>
          <w:rFonts w:hint="eastAsia" w:ascii="仿宋" w:hAnsi="仿宋" w:eastAsia="仿宋" w:cs="仿宋"/>
        </w:rPr>
        <w:t>设备巡检（每季度一次）</w:t>
      </w:r>
    </w:p>
    <w:p w14:paraId="5D3673EA">
      <w:pPr>
        <w:tabs>
          <w:tab w:val="left" w:pos="1020"/>
        </w:tabs>
        <w:autoSpaceDE w:val="0"/>
        <w:autoSpaceDN w:val="0"/>
        <w:spacing w:before="125" w:line="348" w:lineRule="auto"/>
        <w:ind w:right="220" w:firstLine="500" w:firstLineChars="200"/>
        <w:jc w:val="left"/>
        <w:rPr>
          <w:rFonts w:hint="eastAsia" w:ascii="仿宋" w:hAnsi="仿宋" w:eastAsia="仿宋" w:cs="仿宋"/>
          <w:spacing w:val="5"/>
          <w:szCs w:val="24"/>
        </w:rPr>
      </w:pPr>
      <w:r>
        <w:rPr>
          <w:rFonts w:hint="eastAsia" w:ascii="仿宋" w:hAnsi="仿宋" w:eastAsia="仿宋" w:cs="仿宋"/>
          <w:spacing w:val="5"/>
          <w:szCs w:val="24"/>
        </w:rPr>
        <w:t>检查设备告警信息，对告警进行认真分析诊断，采取相应措施，消除故障和问题；收集各硬件的日志信息，对日志进行全面分析诊断，采取相应措施，消除故障隐患；检查各硬件的资源使用情况，如网络设备CPU、内存、软件版本等提出合理的资源优化升级建议；</w:t>
      </w:r>
    </w:p>
    <w:p w14:paraId="0EDD4D38">
      <w:pPr>
        <w:pStyle w:val="6"/>
        <w:rPr>
          <w:rFonts w:hint="eastAsia" w:ascii="仿宋" w:hAnsi="仿宋" w:eastAsia="仿宋" w:cs="仿宋"/>
        </w:rPr>
      </w:pPr>
      <w:r>
        <w:rPr>
          <w:rFonts w:hint="eastAsia" w:ascii="仿宋" w:hAnsi="仿宋" w:eastAsia="仿宋" w:cs="仿宋"/>
        </w:rPr>
        <w:t>软件系统巡检（每季度一次）</w:t>
      </w:r>
    </w:p>
    <w:p w14:paraId="0D1E18D5">
      <w:pPr>
        <w:tabs>
          <w:tab w:val="left" w:pos="1020"/>
        </w:tabs>
        <w:autoSpaceDE w:val="0"/>
        <w:autoSpaceDN w:val="0"/>
        <w:spacing w:before="125" w:line="348" w:lineRule="auto"/>
        <w:ind w:right="220" w:firstLine="500" w:firstLineChars="200"/>
        <w:jc w:val="left"/>
        <w:rPr>
          <w:rFonts w:hint="eastAsia" w:ascii="仿宋" w:hAnsi="仿宋" w:eastAsia="仿宋" w:cs="仿宋"/>
          <w:spacing w:val="5"/>
          <w:szCs w:val="24"/>
        </w:rPr>
      </w:pPr>
      <w:r>
        <w:rPr>
          <w:rFonts w:hint="eastAsia" w:ascii="仿宋" w:hAnsi="仿宋" w:eastAsia="仿宋" w:cs="仿宋"/>
          <w:spacing w:val="5"/>
          <w:szCs w:val="24"/>
        </w:rPr>
        <w:t>检查各软件的告警信息，对告警进行认真分析诊断，采取相应措施，消除故障和问题；收集各软件的日志信息，对日志进行全面分析诊断，采取相应措施，消除故障隐患；检查各软件的安全状况，对存在的漏洞或风险进行评估，采取打补丁、或其他相应手段，消除隐患；检查各软件的运行状态和效率，分析评估，及时进行优化调整或提出建议；检查各软件的操作记录、人员登录情况，协助院方加强管理。</w:t>
      </w:r>
    </w:p>
    <w:p w14:paraId="38BE4D1F">
      <w:pPr>
        <w:pStyle w:val="5"/>
        <w:rPr>
          <w:rFonts w:hint="eastAsia" w:ascii="仿宋" w:hAnsi="仿宋" w:eastAsia="仿宋" w:cs="仿宋"/>
        </w:rPr>
      </w:pPr>
      <w:r>
        <w:rPr>
          <w:rFonts w:hint="eastAsia" w:ascii="仿宋" w:hAnsi="仿宋" w:eastAsia="仿宋" w:cs="仿宋"/>
        </w:rPr>
        <w:t>响应要求</w:t>
      </w:r>
    </w:p>
    <w:p w14:paraId="72CD9E77">
      <w:pPr>
        <w:ind w:firstLine="500" w:firstLineChars="200"/>
        <w:rPr>
          <w:rFonts w:hint="eastAsia" w:ascii="仿宋" w:hAnsi="仿宋" w:eastAsia="仿宋" w:cs="仿宋"/>
          <w:spacing w:val="5"/>
          <w:szCs w:val="24"/>
        </w:rPr>
      </w:pPr>
      <w:r>
        <w:rPr>
          <w:rFonts w:hint="eastAsia" w:ascii="仿宋" w:hAnsi="仿宋" w:eastAsia="仿宋" w:cs="仿宋"/>
          <w:spacing w:val="5"/>
          <w:szCs w:val="24"/>
        </w:rPr>
        <w:t xml:space="preserve">供应商需提供 7*24 小时运维服务；若设备出现故障后，需实时响应故障。 </w:t>
      </w:r>
    </w:p>
    <w:p w14:paraId="02F0A88F">
      <w:pPr>
        <w:ind w:firstLine="500" w:firstLineChars="200"/>
        <w:rPr>
          <w:rFonts w:hint="eastAsia" w:ascii="仿宋" w:hAnsi="仿宋" w:eastAsia="仿宋" w:cs="仿宋"/>
          <w:spacing w:val="5"/>
          <w:szCs w:val="24"/>
        </w:rPr>
      </w:pPr>
      <w:r>
        <w:rPr>
          <w:rFonts w:hint="eastAsia" w:ascii="仿宋" w:hAnsi="仿宋" w:eastAsia="仿宋" w:cs="仿宋"/>
          <w:spacing w:val="5"/>
          <w:szCs w:val="24"/>
        </w:rPr>
        <w:t xml:space="preserve">一级故障服务要求：因软硬件故障，导致业务应用系统停止服务，故障级别定义为一级故障；一级故障发生后，供应商应在接到报修通知后10分钟内与院方联系，前往现场解决故障，并在4小时内解决。 </w:t>
      </w:r>
    </w:p>
    <w:p w14:paraId="5F3806D7">
      <w:pPr>
        <w:ind w:firstLine="500" w:firstLineChars="200"/>
        <w:rPr>
          <w:rFonts w:hint="eastAsia" w:ascii="仿宋" w:hAnsi="仿宋" w:eastAsia="仿宋" w:cs="仿宋"/>
          <w:spacing w:val="5"/>
          <w:szCs w:val="24"/>
        </w:rPr>
      </w:pPr>
      <w:r>
        <w:rPr>
          <w:rFonts w:hint="eastAsia" w:ascii="仿宋" w:hAnsi="仿宋" w:eastAsia="仿宋" w:cs="仿宋"/>
          <w:spacing w:val="5"/>
          <w:szCs w:val="24"/>
        </w:rPr>
        <w:t xml:space="preserve">二级故障服务要求：因软硬件故障，存在造成业务停顿，数据面临丢失的风险，故障级别定义为二级故障；二级故障发生后，供应商应在接到报修通知后10分钟内与院方联系，根据院方要求和实际情况提供现场或电话支持，并应在8小时内解决故障（不涉及停机）。 </w:t>
      </w:r>
    </w:p>
    <w:p w14:paraId="3B1AD476">
      <w:pPr>
        <w:ind w:firstLine="500" w:firstLineChars="200"/>
        <w:rPr>
          <w:rFonts w:hint="eastAsia" w:ascii="仿宋" w:hAnsi="仿宋" w:eastAsia="仿宋" w:cs="仿宋"/>
          <w:spacing w:val="5"/>
          <w:szCs w:val="24"/>
        </w:rPr>
      </w:pPr>
      <w:r>
        <w:rPr>
          <w:rFonts w:hint="eastAsia" w:ascii="仿宋" w:hAnsi="仿宋" w:eastAsia="仿宋" w:cs="仿宋"/>
          <w:spacing w:val="5"/>
          <w:szCs w:val="24"/>
        </w:rPr>
        <w:t>三级故障服务要求：因软硬件故障，导致业务应用系统不能正常使用，但无业务停顿或性能下将，故障级别定义为三级故障；三级故障发生后，供应商应在接到报修通知后30分钟内与院方联系，根据院方要求和实际情况提供现场或电话支持，并应在12小时内解决故障（不涉及停机）。</w:t>
      </w:r>
    </w:p>
    <w:p w14:paraId="1AD84C33">
      <w:pPr>
        <w:ind w:firstLine="500" w:firstLineChars="200"/>
        <w:rPr>
          <w:rFonts w:hint="eastAsia" w:ascii="仿宋" w:hAnsi="仿宋" w:eastAsia="仿宋" w:cs="仿宋"/>
          <w:spacing w:val="5"/>
          <w:szCs w:val="24"/>
        </w:rPr>
      </w:pPr>
      <w:r>
        <w:rPr>
          <w:rFonts w:hint="eastAsia" w:ascii="仿宋" w:hAnsi="仿宋" w:eastAsia="仿宋" w:cs="仿宋"/>
          <w:spacing w:val="5"/>
          <w:szCs w:val="24"/>
        </w:rPr>
        <w:t>四级故障服务要求：除一级，二级，三级外的故障，均为四级故障；四级故障发生后，供应商应在接到报修通知后 30 分钟内与院方联系，根据实际情况提供现场或电话支持，并在24小时内解决故障（不涉及停机）。</w:t>
      </w:r>
    </w:p>
    <w:p w14:paraId="4D672819">
      <w:pPr>
        <w:ind w:firstLine="500" w:firstLineChars="200"/>
        <w:rPr>
          <w:rFonts w:hint="eastAsia" w:ascii="仿宋" w:hAnsi="仿宋" w:eastAsia="仿宋" w:cs="仿宋"/>
          <w:spacing w:val="5"/>
          <w:szCs w:val="24"/>
        </w:rPr>
      </w:pPr>
      <w:r>
        <w:rPr>
          <w:rFonts w:hint="eastAsia" w:ascii="仿宋" w:hAnsi="仿宋" w:eastAsia="仿宋" w:cs="仿宋"/>
          <w:spacing w:val="5"/>
          <w:szCs w:val="24"/>
        </w:rPr>
        <w:t>以上所有服务不包含软件授权。</w:t>
      </w:r>
    </w:p>
    <w:p w14:paraId="1C705397">
      <w:pPr>
        <w:ind w:firstLine="500" w:firstLineChars="200"/>
        <w:rPr>
          <w:rFonts w:hint="eastAsia" w:ascii="仿宋" w:hAnsi="仿宋" w:eastAsia="仿宋" w:cs="仿宋"/>
          <w:spacing w:val="5"/>
          <w:szCs w:val="24"/>
        </w:rPr>
      </w:pPr>
    </w:p>
    <w:p w14:paraId="58DC3DD2">
      <w:pPr>
        <w:pStyle w:val="4"/>
        <w:rPr>
          <w:rFonts w:hint="eastAsia"/>
        </w:rPr>
      </w:pPr>
      <w:r>
        <w:rPr>
          <w:rFonts w:hint="eastAsia" w:ascii="仿宋" w:hAnsi="仿宋" w:eastAsia="仿宋" w:cs="仿宋"/>
          <w:color w:val="000000" w:themeColor="text1"/>
          <w:lang w:val="en-US" w:eastAsia="zh-CN"/>
          <w14:textFill>
            <w14:solidFill>
              <w14:schemeClr w14:val="tx1"/>
            </w14:solidFill>
          </w14:textFill>
        </w:rPr>
        <w:t>信息化网络安全运维服务</w:t>
      </w:r>
    </w:p>
    <w:p w14:paraId="72653FD8">
      <w:pPr>
        <w:ind w:firstLine="420"/>
        <w:rPr>
          <w:rFonts w:hint="eastAsia" w:ascii="仿宋" w:hAnsi="仿宋" w:eastAsia="仿宋" w:cs="仿宋"/>
          <w:spacing w:val="5"/>
          <w:szCs w:val="24"/>
        </w:rPr>
      </w:pPr>
      <w:r>
        <w:rPr>
          <w:rFonts w:hint="eastAsia" w:ascii="仿宋" w:hAnsi="仿宋" w:eastAsia="仿宋" w:cs="仿宋"/>
          <w:spacing w:val="5"/>
          <w:szCs w:val="24"/>
        </w:rPr>
        <w:t>针对院方信息化系统提供全面的网络安全</w:t>
      </w:r>
      <w:r>
        <w:rPr>
          <w:rFonts w:hint="eastAsia" w:ascii="仿宋" w:hAnsi="仿宋" w:eastAsia="仿宋" w:cs="仿宋"/>
          <w:spacing w:val="5"/>
          <w:szCs w:val="24"/>
          <w:lang w:eastAsia="zh-CN"/>
        </w:rPr>
        <w:t>运维</w:t>
      </w:r>
      <w:r>
        <w:rPr>
          <w:rFonts w:hint="eastAsia" w:ascii="仿宋" w:hAnsi="仿宋" w:eastAsia="仿宋" w:cs="仿宋"/>
          <w:spacing w:val="5"/>
          <w:szCs w:val="24"/>
        </w:rPr>
        <w:t>服务，供应商需提供以下12项服务内容，并出具相应服务报告：驻场服务、IT资产梳理、漏洞扫描、基线核查、威胁分析处置、渗透</w:t>
      </w:r>
      <w:r>
        <w:rPr>
          <w:rFonts w:hint="eastAsia" w:ascii="仿宋" w:hAnsi="仿宋" w:eastAsia="仿宋" w:cs="仿宋"/>
          <w:spacing w:val="5"/>
          <w:szCs w:val="24"/>
          <w:highlight w:val="none"/>
        </w:rPr>
        <w:t>测试</w:t>
      </w:r>
      <w:r>
        <w:rPr>
          <w:rFonts w:hint="eastAsia" w:ascii="仿宋" w:hAnsi="仿宋" w:eastAsia="仿宋" w:cs="仿宋"/>
          <w:spacing w:val="5"/>
          <w:szCs w:val="24"/>
        </w:rPr>
        <w:t>、应急响应、应急演练、系统漏洞加固、安全意识培训、重保服务、安全设备维护、终端安全管理等，并提供1套态势感知平台及2台探针设备现场部署使用。</w:t>
      </w:r>
    </w:p>
    <w:p w14:paraId="4A72193D">
      <w:pPr>
        <w:pStyle w:val="5"/>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安全</w:t>
      </w:r>
      <w:r>
        <w:rPr>
          <w:rFonts w:hint="eastAsia" w:ascii="仿宋" w:hAnsi="仿宋" w:eastAsia="仿宋" w:cs="仿宋"/>
          <w:color w:val="000000" w:themeColor="text1"/>
          <w:lang w:eastAsia="zh-CN"/>
          <w14:textFill>
            <w14:solidFill>
              <w14:schemeClr w14:val="tx1"/>
            </w14:solidFill>
          </w14:textFill>
        </w:rPr>
        <w:t>运维</w:t>
      </w:r>
      <w:r>
        <w:rPr>
          <w:rFonts w:hint="eastAsia" w:ascii="仿宋" w:hAnsi="仿宋" w:eastAsia="仿宋" w:cs="仿宋"/>
          <w:color w:val="000000" w:themeColor="text1"/>
          <w14:textFill>
            <w14:solidFill>
              <w14:schemeClr w14:val="tx1"/>
            </w14:solidFill>
          </w14:textFill>
        </w:rPr>
        <w:t>服务驻场工程师要求</w:t>
      </w:r>
    </w:p>
    <w:p w14:paraId="5C828FF2">
      <w:pPr>
        <w:ind w:firstLine="420"/>
        <w:rPr>
          <w:rFonts w:hint="eastAsia" w:ascii="仿宋" w:hAnsi="仿宋" w:eastAsia="仿宋" w:cs="仿宋"/>
          <w:spacing w:val="5"/>
          <w:szCs w:val="24"/>
        </w:rPr>
      </w:pPr>
      <w:r>
        <w:rPr>
          <w:rFonts w:hint="eastAsia" w:ascii="仿宋" w:hAnsi="仿宋" w:eastAsia="仿宋" w:cs="仿宋"/>
          <w:spacing w:val="5"/>
          <w:szCs w:val="24"/>
        </w:rPr>
        <w:t>供应商1人驻场安全服务工程师负责每天监控态势感知平台，对态势感知平台的告警和相关事件及时处置。</w:t>
      </w:r>
    </w:p>
    <w:p w14:paraId="6281CEB9">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对整个安全的态势进行闭环处理，相关事件做好记录</w:t>
      </w:r>
    </w:p>
    <w:p w14:paraId="7899AC8C">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参与所有的重保值守，规划重保的方案及实施</w:t>
      </w:r>
    </w:p>
    <w:p w14:paraId="0AF29751">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协调二线资源对应急事件进行处置</w:t>
      </w:r>
    </w:p>
    <w:p w14:paraId="5F5FFEE4">
      <w:pPr>
        <w:numPr>
          <w:ilvl w:val="0"/>
          <w:numId w:val="5"/>
        </w:numPr>
        <w:ind w:left="0" w:firstLine="480" w:firstLineChars="200"/>
        <w:jc w:val="left"/>
        <w:rPr>
          <w:rFonts w:hint="eastAsia" w:ascii="仿宋" w:hAnsi="仿宋" w:eastAsia="仿宋" w:cs="仿宋"/>
        </w:rPr>
      </w:pPr>
      <w:r>
        <w:rPr>
          <w:rFonts w:hint="eastAsia" w:ascii="仿宋" w:hAnsi="仿宋" w:eastAsia="仿宋" w:cs="仿宋"/>
        </w:rPr>
        <w:t>配合相关单位的现场检查</w:t>
      </w:r>
    </w:p>
    <w:p w14:paraId="5D2196BD">
      <w:pPr>
        <w:pStyle w:val="5"/>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IT资产梳理（2次/年）</w:t>
      </w:r>
    </w:p>
    <w:p w14:paraId="4A8EDE26">
      <w:pPr>
        <w:pStyle w:val="6"/>
        <w:rPr>
          <w:rFonts w:hint="eastAsia" w:ascii="仿宋" w:hAnsi="仿宋" w:eastAsia="仿宋" w:cs="仿宋"/>
        </w:rPr>
      </w:pPr>
      <w:r>
        <w:rPr>
          <w:rFonts w:hint="eastAsia" w:ascii="仿宋" w:hAnsi="仿宋" w:eastAsia="仿宋" w:cs="仿宋"/>
        </w:rPr>
        <w:t>服务内容</w:t>
      </w:r>
    </w:p>
    <w:p w14:paraId="62BE7CF1">
      <w:pPr>
        <w:ind w:firstLine="420"/>
        <w:rPr>
          <w:rFonts w:hint="eastAsia" w:ascii="仿宋" w:hAnsi="仿宋" w:eastAsia="仿宋" w:cs="仿宋"/>
          <w:spacing w:val="5"/>
          <w:szCs w:val="24"/>
        </w:rPr>
      </w:pPr>
      <w:r>
        <w:rPr>
          <w:rFonts w:hint="eastAsia" w:ascii="仿宋" w:hAnsi="仿宋" w:eastAsia="仿宋" w:cs="仿宋"/>
          <w:szCs w:val="21"/>
        </w:rPr>
        <w:t>针对服务器存储、网络设备、安全设备进行资产统计，收集IP信息、开放端口、业务名称等，并制作完成资产梳理清单。并协助院方详细梳理信息资产，包括硬件、软件、技术文档、管理制度等。对所有资产建立档案，生成资产列表，然后依照有关规范对重要资产进行安全等级分类。</w:t>
      </w:r>
    </w:p>
    <w:p w14:paraId="351E8422">
      <w:pPr>
        <w:pStyle w:val="5"/>
        <w:rPr>
          <w:rFonts w:hint="eastAsia" w:ascii="仿宋" w:hAnsi="仿宋" w:eastAsia="仿宋" w:cs="仿宋"/>
        </w:rPr>
      </w:pPr>
      <w:r>
        <w:rPr>
          <w:rFonts w:hint="eastAsia" w:ascii="仿宋" w:hAnsi="仿宋" w:eastAsia="仿宋" w:cs="仿宋"/>
        </w:rPr>
        <w:t>漏洞扫描（4次/年）</w:t>
      </w:r>
    </w:p>
    <w:p w14:paraId="7C009822">
      <w:pPr>
        <w:pStyle w:val="6"/>
        <w:rPr>
          <w:rFonts w:hint="eastAsia" w:ascii="仿宋" w:hAnsi="仿宋" w:eastAsia="仿宋" w:cs="仿宋"/>
        </w:rPr>
      </w:pPr>
      <w:r>
        <w:rPr>
          <w:rFonts w:hint="eastAsia" w:ascii="仿宋" w:hAnsi="仿宋" w:eastAsia="仿宋" w:cs="仿宋"/>
        </w:rPr>
        <w:t>服务内容</w:t>
      </w:r>
    </w:p>
    <w:p w14:paraId="7AB32C70">
      <w:pPr>
        <w:ind w:firstLine="480"/>
        <w:rPr>
          <w:rFonts w:hint="eastAsia" w:ascii="仿宋" w:hAnsi="仿宋" w:eastAsia="仿宋" w:cs="仿宋"/>
          <w:color w:val="FF0000"/>
          <w:szCs w:val="24"/>
        </w:rPr>
      </w:pPr>
      <w:r>
        <w:rPr>
          <w:rFonts w:hint="eastAsia" w:ascii="仿宋" w:hAnsi="仿宋" w:eastAsia="仿宋" w:cs="仿宋"/>
          <w:szCs w:val="24"/>
        </w:rPr>
        <w:t>供应商需采用两种不同品牌的专业安全漏洞扫描工具与人工检查相结合的方式，对电信云相关业务系统以及专网环境进行安全漏洞扫描，发现漏洞，提供扫描报告，并根据扫描报告给出漏洞整改或修复建议。</w:t>
      </w:r>
      <w:r>
        <w:rPr>
          <w:rFonts w:hint="eastAsia" w:ascii="仿宋" w:hAnsi="仿宋" w:eastAsia="仿宋" w:cs="仿宋"/>
          <w:color w:val="FF0000"/>
          <w:szCs w:val="24"/>
        </w:rPr>
        <w:t xml:space="preserve"> </w:t>
      </w:r>
    </w:p>
    <w:p w14:paraId="3BBE69AF">
      <w:pPr>
        <w:pStyle w:val="5"/>
        <w:rPr>
          <w:rFonts w:hint="eastAsia" w:ascii="仿宋" w:hAnsi="仿宋" w:eastAsia="仿宋" w:cs="仿宋"/>
        </w:rPr>
      </w:pPr>
      <w:r>
        <w:rPr>
          <w:rFonts w:hint="eastAsia" w:ascii="仿宋" w:hAnsi="仿宋" w:eastAsia="仿宋" w:cs="仿宋"/>
        </w:rPr>
        <w:t>基线核查（4次/年）</w:t>
      </w:r>
    </w:p>
    <w:p w14:paraId="65D81CC8">
      <w:pPr>
        <w:pStyle w:val="6"/>
        <w:rPr>
          <w:rFonts w:hint="eastAsia" w:ascii="仿宋" w:hAnsi="仿宋" w:eastAsia="仿宋" w:cs="仿宋"/>
        </w:rPr>
      </w:pPr>
      <w:r>
        <w:rPr>
          <w:rFonts w:hint="eastAsia" w:ascii="仿宋" w:hAnsi="仿宋" w:eastAsia="仿宋" w:cs="仿宋"/>
        </w:rPr>
        <w:t>服务内容</w:t>
      </w:r>
    </w:p>
    <w:p w14:paraId="69563CDB">
      <w:pPr>
        <w:ind w:firstLine="420"/>
        <w:rPr>
          <w:rFonts w:hint="eastAsia" w:ascii="仿宋" w:hAnsi="仿宋" w:eastAsia="仿宋" w:cs="仿宋"/>
          <w:szCs w:val="24"/>
        </w:rPr>
      </w:pPr>
      <w:r>
        <w:rPr>
          <w:rFonts w:hint="eastAsia" w:ascii="仿宋" w:hAnsi="仿宋" w:eastAsia="仿宋" w:cs="仿宋"/>
          <w:szCs w:val="24"/>
        </w:rPr>
        <w:t xml:space="preserve">根据现有系统和设备等进行全面的基础安全配置核查和分析，按照等保三级的标准检查不合规项,及时进行整改，以确保所有系统的安全性，其范围包括以下内容： </w:t>
      </w:r>
    </w:p>
    <w:p w14:paraId="65B5598D">
      <w:pPr>
        <w:ind w:firstLine="420"/>
        <w:rPr>
          <w:rFonts w:hint="eastAsia" w:ascii="仿宋" w:hAnsi="仿宋" w:eastAsia="仿宋" w:cs="仿宋"/>
          <w:szCs w:val="24"/>
        </w:rPr>
      </w:pPr>
      <w:r>
        <w:rPr>
          <w:rFonts w:hint="eastAsia" w:ascii="仿宋" w:hAnsi="仿宋" w:eastAsia="仿宋" w:cs="仿宋"/>
          <w:szCs w:val="24"/>
        </w:rPr>
        <w:t>云安全模块：对云所提供的安全类产品提供基线核查，对访问的权限、策略以及软件的更新提供定期检查，并对相应的问题跟踪处置。</w:t>
      </w:r>
    </w:p>
    <w:p w14:paraId="2AD44B30">
      <w:pPr>
        <w:ind w:firstLine="420"/>
        <w:rPr>
          <w:rFonts w:hint="eastAsia" w:ascii="仿宋" w:hAnsi="仿宋" w:eastAsia="仿宋" w:cs="仿宋"/>
          <w:szCs w:val="24"/>
        </w:rPr>
      </w:pPr>
      <w:r>
        <w:rPr>
          <w:rFonts w:hint="eastAsia" w:ascii="仿宋" w:hAnsi="仿宋" w:eastAsia="仿宋" w:cs="仿宋"/>
          <w:szCs w:val="24"/>
        </w:rPr>
        <w:t>网络及安全设备基线：针对网络设备、防火墙、光闸等安全设备进行基线核查，涵盖OS系统安全、帐号和口令管理、认证和授权策略、网络与服务、访问控制策略、日志审核策略、设备其他安全配置等。</w:t>
      </w:r>
    </w:p>
    <w:p w14:paraId="403B5A27">
      <w:pPr>
        <w:ind w:firstLine="420"/>
        <w:rPr>
          <w:rFonts w:hint="eastAsia" w:ascii="仿宋" w:hAnsi="仿宋" w:eastAsia="仿宋" w:cs="仿宋"/>
          <w:szCs w:val="24"/>
        </w:rPr>
      </w:pPr>
      <w:r>
        <w:rPr>
          <w:rFonts w:hint="eastAsia" w:ascii="仿宋" w:hAnsi="仿宋" w:eastAsia="仿宋" w:cs="仿宋"/>
          <w:szCs w:val="24"/>
        </w:rPr>
        <w:t>主机操作系统基线：对 Windows 操作系统、Linux 操作系统及国产化操作系统的各版本核查符合安全规范的基线，涵盖系统漏洞补丁管理、帐号和口令管理、认证与授权策略、网络与服务/进程和启动、文件系统权限、访问控制、通讯协议、日志审核功能、剩余信息保护、其他安全配置等。</w:t>
      </w:r>
    </w:p>
    <w:p w14:paraId="5D6C210A">
      <w:pPr>
        <w:ind w:firstLine="420"/>
        <w:rPr>
          <w:rFonts w:hint="eastAsia" w:ascii="仿宋" w:hAnsi="仿宋" w:eastAsia="仿宋" w:cs="仿宋"/>
          <w:szCs w:val="24"/>
        </w:rPr>
      </w:pPr>
      <w:r>
        <w:rPr>
          <w:rFonts w:hint="eastAsia" w:ascii="仿宋" w:hAnsi="仿宋" w:eastAsia="仿宋" w:cs="仿宋"/>
          <w:szCs w:val="24"/>
        </w:rPr>
        <w:t>数据库基线：涵盖漏洞补丁管理、帐号和口令管理、认证与授权策略、访问控制、通讯协议、日志审核功能、其他安全配置等</w:t>
      </w:r>
    </w:p>
    <w:p w14:paraId="40BEC5DF">
      <w:pPr>
        <w:pStyle w:val="5"/>
        <w:rPr>
          <w:rFonts w:hint="eastAsia" w:ascii="仿宋" w:hAnsi="仿宋" w:eastAsia="仿宋" w:cs="仿宋"/>
        </w:rPr>
      </w:pPr>
      <w:r>
        <w:rPr>
          <w:rFonts w:hint="eastAsia" w:ascii="仿宋" w:hAnsi="仿宋" w:eastAsia="仿宋" w:cs="仿宋"/>
        </w:rPr>
        <w:t>威胁分析处置（一年）</w:t>
      </w:r>
    </w:p>
    <w:p w14:paraId="5DF79B65">
      <w:pPr>
        <w:pStyle w:val="6"/>
        <w:rPr>
          <w:rFonts w:hint="eastAsia" w:ascii="仿宋" w:hAnsi="仿宋" w:eastAsia="仿宋" w:cs="仿宋"/>
        </w:rPr>
      </w:pPr>
      <w:r>
        <w:rPr>
          <w:rFonts w:hint="eastAsia" w:ascii="仿宋" w:hAnsi="仿宋" w:eastAsia="仿宋" w:cs="仿宋"/>
        </w:rPr>
        <w:t>服务内容</w:t>
      </w:r>
    </w:p>
    <w:p w14:paraId="61003E26">
      <w:pPr>
        <w:ind w:firstLine="420"/>
        <w:rPr>
          <w:rFonts w:hint="eastAsia" w:ascii="仿宋" w:hAnsi="仿宋" w:eastAsia="仿宋" w:cs="仿宋"/>
          <w:szCs w:val="24"/>
        </w:rPr>
      </w:pPr>
      <w:r>
        <w:rPr>
          <w:rFonts w:hint="eastAsia" w:ascii="仿宋" w:hAnsi="仿宋" w:eastAsia="仿宋" w:cs="仿宋"/>
          <w:szCs w:val="24"/>
        </w:rPr>
        <w:t>供应商需通过安全安全态势感知平台作为服务工具，对网络流量进行实时监测与分析，集中地对全网设备进行状态监控、流量监控、攻击行为分析，总结院方网络的安全威胁和安全漏洞，保持持续的安全定义和策略应用，提高系统的安全，最终构成安全闭环，达到动态安全防护。</w:t>
      </w:r>
    </w:p>
    <w:p w14:paraId="0CD4997C">
      <w:pPr>
        <w:ind w:firstLine="420"/>
        <w:rPr>
          <w:rFonts w:hint="eastAsia" w:ascii="仿宋" w:hAnsi="仿宋" w:eastAsia="仿宋" w:cs="仿宋"/>
          <w:szCs w:val="24"/>
        </w:rPr>
      </w:pPr>
      <w:r>
        <w:rPr>
          <w:rFonts w:hint="eastAsia" w:ascii="仿宋" w:hAnsi="仿宋" w:eastAsia="仿宋" w:cs="仿宋"/>
          <w:szCs w:val="24"/>
        </w:rPr>
        <w:t>需对漏洞利用攻击事件、Webshell上传事件、SQL 注入攻击事件、系统命令注入攻击事件、口令暴力破解事件、Web明文传输事件、主机病毒感染事件、进行深度分析。判断攻击行为的目的，并据此判断攻击所处的阶段，提出针对性的加固建议。</w:t>
      </w:r>
    </w:p>
    <w:p w14:paraId="5520EA06">
      <w:pPr>
        <w:pStyle w:val="5"/>
        <w:rPr>
          <w:rFonts w:hint="eastAsia" w:ascii="仿宋" w:hAnsi="仿宋" w:eastAsia="仿宋" w:cs="仿宋"/>
        </w:rPr>
      </w:pPr>
      <w:r>
        <w:rPr>
          <w:rFonts w:hint="eastAsia" w:ascii="仿宋" w:hAnsi="仿宋" w:eastAsia="仿宋" w:cs="仿宋"/>
        </w:rPr>
        <w:t>渗透测试</w:t>
      </w:r>
    </w:p>
    <w:p w14:paraId="1483B682">
      <w:pPr>
        <w:pStyle w:val="6"/>
        <w:rPr>
          <w:rFonts w:hint="eastAsia" w:ascii="仿宋" w:hAnsi="仿宋" w:eastAsia="仿宋" w:cs="仿宋"/>
        </w:rPr>
      </w:pPr>
      <w:r>
        <w:rPr>
          <w:rFonts w:hint="eastAsia" w:ascii="仿宋" w:hAnsi="仿宋" w:eastAsia="仿宋" w:cs="仿宋"/>
        </w:rPr>
        <w:t>服务内容</w:t>
      </w:r>
    </w:p>
    <w:p w14:paraId="34F22D4D">
      <w:pPr>
        <w:ind w:firstLine="480"/>
        <w:rPr>
          <w:rFonts w:hint="eastAsia" w:ascii="仿宋" w:hAnsi="仿宋" w:eastAsia="仿宋" w:cs="仿宋"/>
          <w:szCs w:val="21"/>
        </w:rPr>
      </w:pPr>
      <w:r>
        <w:rPr>
          <w:rFonts w:hint="eastAsia" w:ascii="仿宋" w:hAnsi="仿宋" w:eastAsia="仿宋" w:cs="仿宋"/>
          <w:szCs w:val="21"/>
        </w:rPr>
        <w:t>供应商安全工程师需模拟黑客的行为模式，采用黑客的漏洞发现和利用技术，以及尽可能多的攻击方法，对云上的应用系统的安全性进行深入分析。</w:t>
      </w:r>
    </w:p>
    <w:p w14:paraId="23A9553F">
      <w:pPr>
        <w:ind w:firstLine="480"/>
        <w:rPr>
          <w:rFonts w:hint="eastAsia" w:ascii="仿宋" w:hAnsi="仿宋" w:eastAsia="仿宋" w:cs="仿宋"/>
          <w:szCs w:val="21"/>
        </w:rPr>
      </w:pPr>
      <w:r>
        <w:rPr>
          <w:rFonts w:hint="eastAsia" w:ascii="仿宋" w:hAnsi="仿宋" w:eastAsia="仿宋" w:cs="仿宋"/>
          <w:szCs w:val="21"/>
        </w:rPr>
        <w:t>渗透测试需要提交渗透测试报告，渗透测试报告应包括对每套系统安全问题的验证分析、影响分析和解决措施等内容。对WEB系统的渗透测试，需要在互联网网络的任一位置进行渗透测试（2个业务系统）。</w:t>
      </w:r>
    </w:p>
    <w:p w14:paraId="4B8C6760">
      <w:pPr>
        <w:pStyle w:val="5"/>
        <w:rPr>
          <w:rFonts w:hint="eastAsia" w:ascii="仿宋" w:hAnsi="仿宋" w:eastAsia="仿宋" w:cs="仿宋"/>
        </w:rPr>
      </w:pPr>
      <w:r>
        <w:rPr>
          <w:rFonts w:hint="eastAsia" w:ascii="仿宋" w:hAnsi="仿宋" w:eastAsia="仿宋" w:cs="仿宋"/>
        </w:rPr>
        <w:t>应急响应（一年）</w:t>
      </w:r>
    </w:p>
    <w:p w14:paraId="1BF24ED0">
      <w:pPr>
        <w:pStyle w:val="6"/>
        <w:rPr>
          <w:rFonts w:hint="eastAsia" w:ascii="仿宋" w:hAnsi="仿宋" w:eastAsia="仿宋" w:cs="仿宋"/>
        </w:rPr>
      </w:pPr>
      <w:r>
        <w:rPr>
          <w:rFonts w:hint="eastAsia" w:ascii="仿宋" w:hAnsi="仿宋" w:eastAsia="仿宋" w:cs="仿宋"/>
        </w:rPr>
        <w:t>服务内容</w:t>
      </w:r>
    </w:p>
    <w:p w14:paraId="3E0FDFCC">
      <w:pPr>
        <w:ind w:firstLine="480"/>
        <w:rPr>
          <w:rFonts w:hint="eastAsia" w:ascii="仿宋" w:hAnsi="仿宋" w:eastAsia="仿宋" w:cs="仿宋"/>
          <w:szCs w:val="24"/>
        </w:rPr>
      </w:pPr>
      <w:r>
        <w:rPr>
          <w:rFonts w:hint="eastAsia" w:ascii="仿宋" w:hAnsi="仿宋" w:eastAsia="仿宋" w:cs="仿宋"/>
          <w:szCs w:val="24"/>
        </w:rPr>
        <w:t>对于应用系统中出现的影响业务正常运行的任何异常事件进行现场服务支持并且保证数据安全。如：重大业务调整、网络中断、故障排查、策略修改等需要的故障修复或协助服务；破坏应用系统的完整性、系统资源拒绝服务、通过渗透或者入侵的方式来对系统进行非法访问，系统资源的滥用以及任何可能对系统造成损害的行为等，都属于应急响应服务的内容，能够协助院方快速止损，最大化降低安全事件带来的影响。</w:t>
      </w:r>
    </w:p>
    <w:p w14:paraId="289C6105">
      <w:pPr>
        <w:pStyle w:val="5"/>
        <w:rPr>
          <w:rFonts w:hint="eastAsia" w:ascii="仿宋" w:hAnsi="仿宋" w:eastAsia="仿宋" w:cs="仿宋"/>
        </w:rPr>
      </w:pPr>
      <w:r>
        <w:rPr>
          <w:rFonts w:hint="eastAsia" w:ascii="仿宋" w:hAnsi="仿宋" w:eastAsia="仿宋" w:cs="仿宋"/>
        </w:rPr>
        <w:t>应急演练（1次/年）</w:t>
      </w:r>
    </w:p>
    <w:p w14:paraId="59314354">
      <w:pPr>
        <w:pStyle w:val="6"/>
        <w:rPr>
          <w:rFonts w:hint="eastAsia" w:ascii="仿宋" w:hAnsi="仿宋" w:eastAsia="仿宋" w:cs="仿宋"/>
        </w:rPr>
      </w:pPr>
      <w:r>
        <w:rPr>
          <w:rFonts w:hint="eastAsia" w:ascii="仿宋" w:hAnsi="仿宋" w:eastAsia="仿宋" w:cs="仿宋"/>
        </w:rPr>
        <w:t>服务内容</w:t>
      </w:r>
    </w:p>
    <w:p w14:paraId="633A62F7">
      <w:pPr>
        <w:ind w:firstLine="420"/>
        <w:rPr>
          <w:rFonts w:hint="eastAsia" w:ascii="仿宋" w:hAnsi="仿宋" w:eastAsia="仿宋" w:cs="仿宋"/>
          <w:szCs w:val="24"/>
        </w:rPr>
      </w:pPr>
      <w:r>
        <w:rPr>
          <w:rFonts w:hint="eastAsia" w:ascii="仿宋" w:hAnsi="仿宋" w:eastAsia="仿宋" w:cs="仿宋"/>
          <w:szCs w:val="24"/>
        </w:rPr>
        <w:t>供应商需据相关国家标准或国际标准，结合组织的IT建设现状，编制网络与信息安全突发事件应急预案，以指导应急团队应对安全事。通过提前制定应急演练预案，制定应急演练方案及脚本并协助开展应急演练，模拟安全事件发生及处置的全过程，提高应对安全事件的处置能力，预防和减少安全事件造成的危害和损失，同时提高院方实应急反应能力和应急处置能力，为本年度网络攻防演练做好准备。</w:t>
      </w:r>
    </w:p>
    <w:p w14:paraId="13FCDFA8">
      <w:pPr>
        <w:pStyle w:val="5"/>
        <w:rPr>
          <w:rFonts w:hint="eastAsia" w:ascii="仿宋" w:hAnsi="仿宋" w:eastAsia="仿宋" w:cs="仿宋"/>
        </w:rPr>
      </w:pPr>
      <w:r>
        <w:rPr>
          <w:rFonts w:hint="eastAsia" w:ascii="仿宋" w:hAnsi="仿宋" w:eastAsia="仿宋" w:cs="仿宋"/>
        </w:rPr>
        <w:t>系统漏洞加固（一年）</w:t>
      </w:r>
    </w:p>
    <w:p w14:paraId="2A743C69">
      <w:pPr>
        <w:pStyle w:val="6"/>
        <w:rPr>
          <w:rFonts w:hint="eastAsia" w:ascii="仿宋" w:hAnsi="仿宋" w:eastAsia="仿宋" w:cs="仿宋"/>
        </w:rPr>
      </w:pPr>
      <w:r>
        <w:rPr>
          <w:rFonts w:hint="eastAsia" w:ascii="仿宋" w:hAnsi="仿宋" w:eastAsia="仿宋" w:cs="仿宋"/>
        </w:rPr>
        <w:t>服务内容</w:t>
      </w:r>
    </w:p>
    <w:p w14:paraId="109C0338">
      <w:pPr>
        <w:ind w:firstLine="480"/>
        <w:rPr>
          <w:rFonts w:hint="eastAsia" w:ascii="仿宋" w:hAnsi="仿宋" w:eastAsia="仿宋" w:cs="仿宋"/>
          <w:szCs w:val="21"/>
        </w:rPr>
      </w:pPr>
      <w:r>
        <w:rPr>
          <w:rFonts w:hint="eastAsia" w:ascii="仿宋" w:hAnsi="仿宋" w:eastAsia="仿宋" w:cs="仿宋"/>
          <w:szCs w:val="21"/>
        </w:rPr>
        <w:t>供应商对于通过各种措施发现的安全漏洞、安全弱点、安全风险，需要通过多方面的安全加固措施进行修补，确保每个系统的安全性。安全加固服务主要包括以下类型：</w:t>
      </w:r>
    </w:p>
    <w:p w14:paraId="7AC82C42">
      <w:pPr>
        <w:numPr>
          <w:ilvl w:val="0"/>
          <w:numId w:val="6"/>
        </w:numPr>
        <w:rPr>
          <w:rFonts w:hint="eastAsia" w:ascii="仿宋" w:hAnsi="仿宋" w:eastAsia="仿宋" w:cs="仿宋"/>
          <w:szCs w:val="21"/>
        </w:rPr>
      </w:pPr>
      <w:r>
        <w:rPr>
          <w:rFonts w:hint="eastAsia" w:ascii="仿宋" w:hAnsi="仿宋" w:eastAsia="仿宋" w:cs="仿宋"/>
          <w:szCs w:val="21"/>
        </w:rPr>
        <w:t>应用系统加固服务：</w:t>
      </w:r>
    </w:p>
    <w:p w14:paraId="0BAA9F27">
      <w:pPr>
        <w:ind w:firstLine="480"/>
        <w:rPr>
          <w:rFonts w:hint="eastAsia" w:ascii="仿宋" w:hAnsi="仿宋" w:eastAsia="仿宋" w:cs="仿宋"/>
          <w:szCs w:val="21"/>
        </w:rPr>
      </w:pPr>
      <w:r>
        <w:rPr>
          <w:rFonts w:hint="eastAsia" w:ascii="仿宋" w:hAnsi="仿宋" w:eastAsia="仿宋" w:cs="仿宋"/>
          <w:szCs w:val="21"/>
        </w:rPr>
        <w:t>发现服务器操作系统或应用软件的不安全配置，并配合</w:t>
      </w:r>
      <w:r>
        <w:rPr>
          <w:rFonts w:hint="eastAsia" w:ascii="仿宋" w:hAnsi="仿宋" w:eastAsia="仿宋" w:cs="仿宋"/>
          <w:szCs w:val="24"/>
        </w:rPr>
        <w:t>应用软件服务商</w:t>
      </w:r>
      <w:r>
        <w:rPr>
          <w:rFonts w:hint="eastAsia" w:ascii="仿宋" w:hAnsi="仿宋" w:eastAsia="仿宋" w:cs="仿宋"/>
          <w:szCs w:val="21"/>
        </w:rPr>
        <w:t>及时对各项不安全配置进行修复，确保服务器操作系统或应用软件的安全性。应用系统加固包括各项安全策略调整、补丁实施等内容。对服务器操作系统和应用系统按照信息安全等级保护级别的要求进行加固。</w:t>
      </w:r>
    </w:p>
    <w:p w14:paraId="643E22FA">
      <w:pPr>
        <w:numPr>
          <w:ilvl w:val="0"/>
          <w:numId w:val="6"/>
        </w:numPr>
        <w:rPr>
          <w:rFonts w:hint="eastAsia" w:ascii="仿宋" w:hAnsi="仿宋" w:eastAsia="仿宋" w:cs="仿宋"/>
          <w:szCs w:val="21"/>
        </w:rPr>
      </w:pPr>
      <w:r>
        <w:rPr>
          <w:rFonts w:hint="eastAsia" w:ascii="仿宋" w:hAnsi="仿宋" w:eastAsia="仿宋" w:cs="仿宋"/>
          <w:szCs w:val="21"/>
        </w:rPr>
        <w:t>漏洞扫描发现的高风险：</w:t>
      </w:r>
    </w:p>
    <w:p w14:paraId="5713DC84">
      <w:pPr>
        <w:ind w:firstLine="480"/>
        <w:rPr>
          <w:rFonts w:hint="eastAsia" w:ascii="仿宋" w:hAnsi="仿宋" w:eastAsia="仿宋" w:cs="仿宋"/>
          <w:szCs w:val="21"/>
        </w:rPr>
      </w:pPr>
      <w:r>
        <w:rPr>
          <w:rFonts w:hint="eastAsia" w:ascii="仿宋" w:hAnsi="仿宋" w:eastAsia="仿宋" w:cs="仿宋"/>
          <w:szCs w:val="21"/>
        </w:rPr>
        <w:t>通过漏洞扫描发现的各类高风险漏洞，需要进行安全加固，以消除高风险安全漏洞。</w:t>
      </w:r>
    </w:p>
    <w:p w14:paraId="15AB9219">
      <w:pPr>
        <w:numPr>
          <w:ilvl w:val="0"/>
          <w:numId w:val="6"/>
        </w:numPr>
        <w:rPr>
          <w:rFonts w:hint="eastAsia" w:ascii="仿宋" w:hAnsi="仿宋" w:eastAsia="仿宋" w:cs="仿宋"/>
          <w:szCs w:val="21"/>
        </w:rPr>
      </w:pPr>
      <w:r>
        <w:rPr>
          <w:rFonts w:hint="eastAsia" w:ascii="仿宋" w:hAnsi="仿宋" w:eastAsia="仿宋" w:cs="仿宋"/>
          <w:szCs w:val="21"/>
        </w:rPr>
        <w:t>安全设备加固服务：</w:t>
      </w:r>
    </w:p>
    <w:p w14:paraId="62D44523">
      <w:pPr>
        <w:ind w:firstLine="480"/>
        <w:rPr>
          <w:rFonts w:hint="eastAsia" w:ascii="仿宋" w:hAnsi="仿宋" w:eastAsia="仿宋" w:cs="仿宋"/>
          <w:szCs w:val="21"/>
        </w:rPr>
      </w:pPr>
      <w:r>
        <w:rPr>
          <w:rFonts w:hint="eastAsia" w:ascii="仿宋" w:hAnsi="仿宋" w:eastAsia="仿宋" w:cs="仿宋"/>
          <w:szCs w:val="21"/>
        </w:rPr>
        <w:t>协助院方调整安全设备的安全策略，如增加服务器、减少服务器而需要改变安全设备的通行端口等内容。</w:t>
      </w:r>
    </w:p>
    <w:p w14:paraId="352181B0">
      <w:pPr>
        <w:pStyle w:val="5"/>
        <w:rPr>
          <w:rFonts w:hint="eastAsia" w:ascii="仿宋" w:hAnsi="仿宋" w:eastAsia="仿宋" w:cs="仿宋"/>
        </w:rPr>
      </w:pPr>
      <w:r>
        <w:rPr>
          <w:rFonts w:hint="eastAsia" w:ascii="仿宋" w:hAnsi="仿宋" w:eastAsia="仿宋" w:cs="仿宋"/>
        </w:rPr>
        <w:t>安全意识培训（1次/年）</w:t>
      </w:r>
    </w:p>
    <w:p w14:paraId="6C253491">
      <w:pPr>
        <w:pStyle w:val="6"/>
        <w:rPr>
          <w:rFonts w:hint="eastAsia" w:ascii="仿宋" w:hAnsi="仿宋" w:eastAsia="仿宋" w:cs="仿宋"/>
        </w:rPr>
      </w:pPr>
      <w:r>
        <w:rPr>
          <w:rFonts w:hint="eastAsia" w:ascii="仿宋" w:hAnsi="仿宋" w:eastAsia="仿宋" w:cs="仿宋"/>
        </w:rPr>
        <w:t>服务内容</w:t>
      </w:r>
    </w:p>
    <w:p w14:paraId="2A9B9A88">
      <w:pPr>
        <w:ind w:firstLine="480"/>
        <w:rPr>
          <w:rFonts w:hint="eastAsia" w:ascii="仿宋" w:hAnsi="仿宋" w:eastAsia="仿宋" w:cs="仿宋"/>
          <w:szCs w:val="24"/>
        </w:rPr>
      </w:pPr>
      <w:r>
        <w:rPr>
          <w:rFonts w:hint="eastAsia" w:ascii="仿宋" w:hAnsi="仿宋" w:eastAsia="仿宋" w:cs="仿宋"/>
          <w:szCs w:val="24"/>
        </w:rPr>
        <w:t>通过开展信息安全技术培训，更好的完善院方运维处置能力和信息化建设能力，全面提升信息系统运维管理人员的技术水平，保障重要的基础设施及信息系统安全运行，加强信息管理人员的信息安全意识和防护能力，从技术手段和措施上加强管理力度，确保信息系统运行稳定、可靠、安全。</w:t>
      </w:r>
    </w:p>
    <w:p w14:paraId="5B3054D5">
      <w:pPr>
        <w:pStyle w:val="5"/>
        <w:rPr>
          <w:rFonts w:hint="eastAsia" w:ascii="仿宋" w:hAnsi="仿宋" w:eastAsia="仿宋" w:cs="仿宋"/>
        </w:rPr>
      </w:pPr>
      <w:r>
        <w:rPr>
          <w:rFonts w:hint="eastAsia" w:ascii="仿宋" w:hAnsi="仿宋" w:eastAsia="仿宋" w:cs="仿宋"/>
        </w:rPr>
        <w:t>重保服务（按需提供）</w:t>
      </w:r>
    </w:p>
    <w:p w14:paraId="5E4EB9F3">
      <w:pPr>
        <w:pStyle w:val="6"/>
        <w:rPr>
          <w:rFonts w:hint="eastAsia" w:ascii="仿宋" w:hAnsi="仿宋" w:eastAsia="仿宋" w:cs="仿宋"/>
        </w:rPr>
      </w:pPr>
      <w:r>
        <w:rPr>
          <w:rFonts w:hint="eastAsia" w:ascii="仿宋" w:hAnsi="仿宋" w:eastAsia="仿宋" w:cs="仿宋"/>
        </w:rPr>
        <w:t>服务内容</w:t>
      </w:r>
    </w:p>
    <w:p w14:paraId="04BCF25A">
      <w:pPr>
        <w:ind w:firstLine="480" w:firstLineChars="200"/>
        <w:rPr>
          <w:rFonts w:hint="eastAsia" w:ascii="仿宋" w:hAnsi="仿宋" w:eastAsia="仿宋" w:cs="仿宋"/>
        </w:rPr>
      </w:pPr>
      <w:r>
        <w:rPr>
          <w:rFonts w:hint="eastAsia" w:ascii="仿宋" w:hAnsi="仿宋" w:eastAsia="仿宋" w:cs="仿宋"/>
        </w:rPr>
        <w:t>供应商在重保期间需要应对可能发生的网络安全事件，最大力度保障院方的网络系统在重保期间全面防御来自攻击方的网络攻击。</w:t>
      </w:r>
    </w:p>
    <w:p w14:paraId="4581649C">
      <w:pPr>
        <w:ind w:firstLine="480" w:firstLineChars="200"/>
        <w:rPr>
          <w:rFonts w:hint="eastAsia" w:ascii="仿宋" w:hAnsi="仿宋" w:eastAsia="仿宋" w:cs="仿宋"/>
        </w:rPr>
      </w:pPr>
      <w:r>
        <w:rPr>
          <w:rFonts w:hint="eastAsia" w:ascii="仿宋" w:hAnsi="仿宋" w:eastAsia="仿宋" w:cs="仿宋"/>
        </w:rPr>
        <w:t>同时，加强院方自身信息系统的安全保护措施，完善院方的信息安全体系建设和实施，并提升网络安全防护能力。同时健全网络安全保障体系，满足国家相关政策法规要求。</w:t>
      </w:r>
    </w:p>
    <w:p w14:paraId="7F4BCC24">
      <w:pPr>
        <w:ind w:firstLine="480" w:firstLineChars="200"/>
        <w:rPr>
          <w:rFonts w:hint="eastAsia" w:ascii="仿宋" w:hAnsi="仿宋" w:eastAsia="仿宋" w:cs="仿宋"/>
        </w:rPr>
      </w:pPr>
      <w:r>
        <w:rPr>
          <w:rFonts w:hint="eastAsia" w:ascii="仿宋" w:hAnsi="仿宋" w:eastAsia="仿宋" w:cs="仿宋"/>
        </w:rPr>
        <w:t>建立可靠的安全应急响应预案和应急响应处理流程，最大限度消除系统运行中各类突发事件的危害和影响，保障系统不受突发安全事件的破坏，确保系统的业务连续性和可用性，实现应急响应工作的规范化、制度化和流程化。</w:t>
      </w:r>
    </w:p>
    <w:p w14:paraId="36693D25">
      <w:pPr>
        <w:pStyle w:val="5"/>
        <w:rPr>
          <w:rFonts w:hint="eastAsia" w:ascii="仿宋" w:hAnsi="仿宋" w:eastAsia="仿宋" w:cs="仿宋"/>
        </w:rPr>
      </w:pPr>
      <w:r>
        <w:rPr>
          <w:rFonts w:hint="eastAsia" w:ascii="仿宋" w:hAnsi="仿宋" w:eastAsia="仿宋" w:cs="仿宋"/>
        </w:rPr>
        <w:t>安全设备维护（按需提供）</w:t>
      </w:r>
    </w:p>
    <w:p w14:paraId="6CDF077A">
      <w:pPr>
        <w:pStyle w:val="6"/>
        <w:rPr>
          <w:rFonts w:hint="eastAsia" w:ascii="仿宋" w:hAnsi="仿宋" w:eastAsia="仿宋" w:cs="仿宋"/>
        </w:rPr>
      </w:pPr>
      <w:r>
        <w:rPr>
          <w:rFonts w:hint="eastAsia" w:ascii="仿宋" w:hAnsi="仿宋" w:eastAsia="仿宋" w:cs="仿宋"/>
        </w:rPr>
        <w:t>服务内容</w:t>
      </w:r>
    </w:p>
    <w:p w14:paraId="6760604E">
      <w:pPr>
        <w:ind w:firstLine="420"/>
        <w:rPr>
          <w:rFonts w:hint="eastAsia" w:ascii="仿宋" w:hAnsi="仿宋" w:eastAsia="仿宋" w:cs="仿宋"/>
        </w:rPr>
      </w:pPr>
      <w:r>
        <w:rPr>
          <w:rFonts w:hint="eastAsia" w:ascii="仿宋" w:hAnsi="仿宋" w:eastAsia="仿宋" w:cs="仿宋"/>
        </w:rPr>
        <w:t>对系统策略及网络系统进行优化设计，制定调整系统策略优化、安全域规划与配置、IP规划、VLAN优化等策略，并根据实际情况调整与实施。同时对现有的网络安全工具配置进行管理，对策略的合理性进行整体的评估，对日常的策略调整提供技术支持服务，对合规性的检查提供调整优化服务</w:t>
      </w:r>
    </w:p>
    <w:p w14:paraId="39039C09">
      <w:pPr>
        <w:pStyle w:val="5"/>
        <w:rPr>
          <w:rFonts w:hint="eastAsia" w:ascii="仿宋" w:hAnsi="仿宋" w:eastAsia="仿宋" w:cs="仿宋"/>
        </w:rPr>
      </w:pPr>
      <w:r>
        <w:rPr>
          <w:rFonts w:hint="eastAsia" w:ascii="仿宋" w:hAnsi="仿宋" w:eastAsia="仿宋" w:cs="仿宋"/>
        </w:rPr>
        <w:t>终端安全管理（全年）</w:t>
      </w:r>
    </w:p>
    <w:p w14:paraId="3EC1EB95">
      <w:pPr>
        <w:pStyle w:val="6"/>
        <w:rPr>
          <w:rFonts w:hint="eastAsia" w:ascii="仿宋" w:hAnsi="仿宋" w:eastAsia="仿宋" w:cs="仿宋"/>
        </w:rPr>
      </w:pPr>
      <w:r>
        <w:rPr>
          <w:rFonts w:hint="eastAsia" w:ascii="仿宋" w:hAnsi="仿宋" w:eastAsia="仿宋" w:cs="仿宋"/>
        </w:rPr>
        <w:t>服务内容</w:t>
      </w:r>
    </w:p>
    <w:p w14:paraId="00CF38A4">
      <w:pPr>
        <w:ind w:firstLine="420"/>
        <w:rPr>
          <w:rFonts w:hint="eastAsia" w:ascii="仿宋" w:hAnsi="仿宋" w:eastAsia="仿宋" w:cs="仿宋"/>
        </w:rPr>
      </w:pPr>
      <w:r>
        <w:rPr>
          <w:rFonts w:hint="eastAsia" w:ascii="仿宋" w:hAnsi="仿宋" w:eastAsia="仿宋" w:cs="仿宋"/>
        </w:rPr>
        <w:t>供应商需升级网络接入控制系统，启动院方终端入网规范化管理，对终端进行入网保护，对全网入网设备进行台账式梳理，进行细化资产管理、外设端口管理、补丁分发管理、移动存储设备管理</w:t>
      </w:r>
    </w:p>
    <w:p w14:paraId="0C095BA3">
      <w:pPr>
        <w:ind w:firstLine="420"/>
        <w:rPr>
          <w:rFonts w:hint="eastAsia" w:ascii="仿宋" w:hAnsi="仿宋" w:eastAsia="仿宋" w:cs="仿宋"/>
        </w:rPr>
      </w:pPr>
    </w:p>
    <w:p w14:paraId="350D7C0B">
      <w:pPr>
        <w:pStyle w:val="4"/>
        <w:rPr>
          <w:rFonts w:hint="eastAsia" w:ascii="仿宋" w:hAnsi="仿宋" w:eastAsia="仿宋" w:cs="仿宋"/>
        </w:rPr>
      </w:pPr>
      <w:r>
        <w:rPr>
          <w:rFonts w:hint="eastAsia" w:ascii="仿宋" w:hAnsi="仿宋" w:eastAsia="仿宋" w:cs="仿宋"/>
        </w:rPr>
        <w:t>业务系统数据备份</w:t>
      </w:r>
      <w:r>
        <w:rPr>
          <w:rFonts w:hint="eastAsia" w:ascii="仿宋" w:hAnsi="仿宋" w:eastAsia="仿宋" w:cs="仿宋"/>
          <w:lang w:eastAsia="zh-CN"/>
        </w:rPr>
        <w:t>运维</w:t>
      </w:r>
      <w:r>
        <w:rPr>
          <w:rFonts w:hint="eastAsia" w:ascii="仿宋" w:hAnsi="仿宋" w:eastAsia="仿宋" w:cs="仿宋"/>
        </w:rPr>
        <w:t>服务</w:t>
      </w:r>
    </w:p>
    <w:p w14:paraId="0CF443AF">
      <w:pPr>
        <w:ind w:firstLine="420"/>
        <w:rPr>
          <w:rFonts w:hint="eastAsia" w:ascii="仿宋" w:hAnsi="仿宋" w:eastAsia="仿宋" w:cs="仿宋"/>
        </w:rPr>
      </w:pPr>
      <w:r>
        <w:rPr>
          <w:rFonts w:hint="eastAsia" w:ascii="仿宋" w:hAnsi="仿宋" w:eastAsia="仿宋" w:cs="仿宋"/>
        </w:rPr>
        <w:t>供应商需提供运维数据备份与恢复工具及许可，并依据业务情况部署、调试工具。针对院方现有业务系统的数据库、虚拟机、文件系统等类型数据进行全面备份，保障数据安全，并提供满足当前可用备份300TB数据量的软件硬件设备及日常运维管理服务，每季度进行备份设备巡检以及</w:t>
      </w:r>
      <w:r>
        <w:rPr>
          <w:rFonts w:hint="eastAsia" w:ascii="仿宋" w:hAnsi="仿宋" w:eastAsia="仿宋" w:cs="仿宋"/>
          <w:lang w:eastAsia="zh-CN"/>
        </w:rPr>
        <w:t>工作</w:t>
      </w:r>
      <w:r>
        <w:rPr>
          <w:rFonts w:hint="eastAsia" w:ascii="仿宋" w:hAnsi="仿宋" w:eastAsia="仿宋" w:cs="仿宋"/>
        </w:rPr>
        <w:t>总结</w:t>
      </w:r>
      <w:bookmarkStart w:id="11" w:name="_Hlk61366156"/>
      <w:r>
        <w:rPr>
          <w:rFonts w:hint="eastAsia" w:ascii="仿宋" w:hAnsi="仿宋" w:eastAsia="仿宋" w:cs="仿宋"/>
        </w:rPr>
        <w:t>。</w:t>
      </w:r>
    </w:p>
    <w:bookmarkEnd w:id="11"/>
    <w:p w14:paraId="009A3EFD">
      <w:pPr>
        <w:pStyle w:val="5"/>
        <w:rPr>
          <w:rFonts w:hint="eastAsia" w:ascii="仿宋" w:hAnsi="仿宋" w:eastAsia="仿宋" w:cs="仿宋"/>
        </w:rPr>
      </w:pPr>
      <w:r>
        <w:rPr>
          <w:rFonts w:hint="eastAsia" w:ascii="仿宋" w:hAnsi="仿宋" w:eastAsia="仿宋" w:cs="仿宋"/>
        </w:rPr>
        <w:t>业务系统数据备份</w:t>
      </w:r>
      <w:r>
        <w:rPr>
          <w:rFonts w:hint="eastAsia" w:ascii="仿宋" w:hAnsi="仿宋" w:eastAsia="仿宋" w:cs="仿宋"/>
          <w:lang w:eastAsia="zh-CN"/>
        </w:rPr>
        <w:t>运维</w:t>
      </w:r>
      <w:r>
        <w:rPr>
          <w:rFonts w:hint="eastAsia" w:ascii="仿宋" w:hAnsi="仿宋" w:eastAsia="仿宋" w:cs="仿宋"/>
        </w:rPr>
        <w:t>服务要求</w:t>
      </w:r>
    </w:p>
    <w:p w14:paraId="3EA0E973">
      <w:pPr>
        <w:ind w:firstLine="420"/>
        <w:rPr>
          <w:rFonts w:hint="eastAsia" w:ascii="仿宋" w:hAnsi="仿宋" w:eastAsia="仿宋" w:cs="仿宋"/>
        </w:rPr>
      </w:pPr>
      <w:r>
        <w:rPr>
          <w:rFonts w:hint="eastAsia" w:ascii="仿宋" w:hAnsi="仿宋" w:eastAsia="仿宋" w:cs="仿宋"/>
        </w:rPr>
        <w:t>用于电子档案和电子卷宗海量非结构化数据管理。具体服务需求如下：</w:t>
      </w:r>
    </w:p>
    <w:p w14:paraId="28862EAE">
      <w:pPr>
        <w:pStyle w:val="61"/>
        <w:numPr>
          <w:ilvl w:val="0"/>
          <w:numId w:val="7"/>
        </w:numPr>
        <w:ind w:firstLineChars="0"/>
        <w:rPr>
          <w:rFonts w:hint="eastAsia" w:ascii="仿宋" w:hAnsi="仿宋" w:eastAsia="仿宋" w:cs="仿宋"/>
        </w:rPr>
      </w:pPr>
      <w:r>
        <w:rPr>
          <w:rFonts w:hint="eastAsia" w:ascii="仿宋" w:hAnsi="仿宋" w:eastAsia="仿宋" w:cs="仿宋"/>
        </w:rPr>
        <w:t>首次安装部署服务：包括现场环境评估、产品实施方案设计、出具实施文档。</w:t>
      </w:r>
    </w:p>
    <w:p w14:paraId="2D666D1D">
      <w:pPr>
        <w:pStyle w:val="61"/>
        <w:numPr>
          <w:ilvl w:val="0"/>
          <w:numId w:val="7"/>
        </w:numPr>
        <w:ind w:firstLineChars="0"/>
        <w:rPr>
          <w:rFonts w:hint="eastAsia" w:ascii="仿宋" w:hAnsi="仿宋" w:eastAsia="仿宋" w:cs="仿宋"/>
        </w:rPr>
      </w:pPr>
      <w:r>
        <w:rPr>
          <w:rFonts w:hint="eastAsia" w:ascii="仿宋" w:hAnsi="仿宋" w:eastAsia="仿宋" w:cs="仿宋"/>
        </w:rPr>
        <w:t>软硬件7*24小时响应服务：针对容灾备份范围内故障处理，供应商需2小时内到达现场进行处理，按需提供，其服务期内不限次数。</w:t>
      </w:r>
    </w:p>
    <w:p w14:paraId="10540174">
      <w:pPr>
        <w:pStyle w:val="61"/>
        <w:numPr>
          <w:ilvl w:val="0"/>
          <w:numId w:val="7"/>
        </w:numPr>
        <w:ind w:firstLineChars="0"/>
        <w:rPr>
          <w:rFonts w:hint="eastAsia" w:ascii="仿宋" w:hAnsi="仿宋" w:eastAsia="仿宋" w:cs="仿宋"/>
        </w:rPr>
      </w:pPr>
      <w:r>
        <w:rPr>
          <w:rFonts w:hint="eastAsia" w:ascii="仿宋" w:hAnsi="仿宋" w:eastAsia="仿宋" w:cs="仿宋"/>
        </w:rPr>
        <w:t>容灾备份配置维护服务：需提供容灾备份变更、新增等服务，按需提供，服务期内不限次数。</w:t>
      </w:r>
    </w:p>
    <w:p w14:paraId="68DA6644">
      <w:pPr>
        <w:pStyle w:val="61"/>
        <w:numPr>
          <w:ilvl w:val="0"/>
          <w:numId w:val="7"/>
        </w:numPr>
        <w:ind w:firstLineChars="0"/>
        <w:rPr>
          <w:rFonts w:hint="eastAsia" w:ascii="仿宋" w:hAnsi="仿宋" w:eastAsia="仿宋" w:cs="仿宋"/>
        </w:rPr>
      </w:pPr>
      <w:r>
        <w:rPr>
          <w:rFonts w:hint="eastAsia" w:ascii="仿宋" w:hAnsi="仿宋" w:eastAsia="仿宋" w:cs="仿宋"/>
        </w:rPr>
        <w:t>数据恢复服务：容灾备份范围内系统发生故障需要数据恢复，供应商需提供数据恢复服务。按需提供，服务期内不限次数。</w:t>
      </w:r>
    </w:p>
    <w:p w14:paraId="5213D581">
      <w:pPr>
        <w:pStyle w:val="61"/>
        <w:numPr>
          <w:ilvl w:val="0"/>
          <w:numId w:val="7"/>
        </w:numPr>
        <w:ind w:firstLineChars="0"/>
        <w:rPr>
          <w:rFonts w:hint="eastAsia" w:ascii="仿宋" w:hAnsi="仿宋" w:eastAsia="仿宋" w:cs="仿宋"/>
        </w:rPr>
      </w:pPr>
      <w:r>
        <w:rPr>
          <w:rFonts w:hint="eastAsia" w:ascii="仿宋" w:hAnsi="仿宋" w:eastAsia="仿宋" w:cs="仿宋"/>
        </w:rPr>
        <w:t>软件和补丁升级服务：供应商需提供补丁更新、软件升级服务。按需提供，服务期内不限次数。</w:t>
      </w:r>
    </w:p>
    <w:p w14:paraId="539F80CF">
      <w:pPr>
        <w:pStyle w:val="61"/>
        <w:numPr>
          <w:ilvl w:val="0"/>
          <w:numId w:val="7"/>
        </w:numPr>
        <w:ind w:firstLineChars="0"/>
        <w:rPr>
          <w:rFonts w:hint="eastAsia" w:ascii="仿宋" w:hAnsi="仿宋" w:eastAsia="仿宋" w:cs="仿宋"/>
        </w:rPr>
      </w:pPr>
      <w:r>
        <w:rPr>
          <w:rFonts w:hint="eastAsia" w:ascii="仿宋" w:hAnsi="仿宋" w:eastAsia="仿宋" w:cs="仿宋"/>
        </w:rPr>
        <w:t>灾备演练服务：根据院方需要，供应商需对容灾备份范围内系统进行灾备演练，每年提供1次。</w:t>
      </w:r>
    </w:p>
    <w:p w14:paraId="13E43D71">
      <w:pPr>
        <w:pStyle w:val="61"/>
        <w:numPr>
          <w:ilvl w:val="0"/>
          <w:numId w:val="7"/>
        </w:numPr>
        <w:ind w:firstLineChars="0"/>
        <w:rPr>
          <w:rFonts w:hint="eastAsia" w:ascii="仿宋" w:hAnsi="仿宋" w:eastAsia="仿宋" w:cs="仿宋"/>
        </w:rPr>
      </w:pPr>
      <w:r>
        <w:rPr>
          <w:rFonts w:hint="eastAsia" w:ascii="仿宋" w:hAnsi="仿宋" w:eastAsia="仿宋" w:cs="仿宋"/>
        </w:rPr>
        <w:t>系统巡检服务：供应商需对容灾备份范围内数据保护情况进行现场巡检，每月提供1次，，每月出具运维服务报告。</w:t>
      </w:r>
    </w:p>
    <w:p w14:paraId="2F7069E2">
      <w:pPr>
        <w:pStyle w:val="61"/>
        <w:numPr>
          <w:ilvl w:val="0"/>
          <w:numId w:val="7"/>
        </w:numPr>
        <w:ind w:firstLineChars="0"/>
        <w:rPr>
          <w:rFonts w:hint="eastAsia" w:ascii="仿宋" w:hAnsi="仿宋" w:eastAsia="仿宋" w:cs="仿宋"/>
        </w:rPr>
      </w:pPr>
      <w:r>
        <w:rPr>
          <w:rFonts w:hint="eastAsia" w:ascii="仿宋" w:hAnsi="仿宋" w:eastAsia="仿宋" w:cs="仿宋"/>
        </w:rPr>
        <w:t>一键接管服务：供应商需对容灾备份范围内的现有审判系统进行一键接管服务。</w:t>
      </w:r>
    </w:p>
    <w:p w14:paraId="6774FD99">
      <w:pPr>
        <w:pStyle w:val="61"/>
        <w:numPr>
          <w:ilvl w:val="0"/>
          <w:numId w:val="7"/>
        </w:numPr>
        <w:ind w:firstLineChars="0"/>
        <w:rPr>
          <w:rFonts w:hint="eastAsia" w:ascii="仿宋" w:hAnsi="仿宋" w:eastAsia="仿宋" w:cs="仿宋"/>
        </w:rPr>
      </w:pPr>
      <w:r>
        <w:rPr>
          <w:rFonts w:hint="eastAsia" w:ascii="仿宋" w:hAnsi="仿宋" w:eastAsia="仿宋" w:cs="仿宋"/>
        </w:rPr>
        <w:t>平台兼容性：硬件兼容</w:t>
      </w:r>
      <w:r>
        <w:rPr>
          <w:rFonts w:hint="eastAsia" w:ascii="仿宋" w:hAnsi="仿宋" w:eastAsia="仿宋" w:cs="仿宋"/>
        </w:rPr>
        <w:tab/>
      </w:r>
      <w:r>
        <w:rPr>
          <w:rFonts w:hint="eastAsia" w:ascii="仿宋" w:hAnsi="仿宋" w:eastAsia="仿宋" w:cs="仿宋"/>
        </w:rPr>
        <w:t>支持x86/Power/龙芯/鲲鹏/飞腾等国内外主流CPU架构平台；虚拟化兼容</w:t>
      </w:r>
      <w:r>
        <w:rPr>
          <w:rFonts w:hint="eastAsia" w:ascii="仿宋" w:hAnsi="仿宋" w:eastAsia="仿宋" w:cs="仿宋"/>
        </w:rPr>
        <w:tab/>
      </w:r>
      <w:r>
        <w:rPr>
          <w:rFonts w:hint="eastAsia" w:ascii="仿宋" w:hAnsi="仿宋" w:eastAsia="仿宋" w:cs="仿宋"/>
        </w:rPr>
        <w:t>支持VMware/Hyper-V/深信服acloud等国内外主流虚拟化平台；系统兼容支持Windows/Linux/CentOS/SUSE/AIX/中标麒麟/银河麒麟/华为EulerOS/统信UOS等国内外主流操作系统。</w:t>
      </w:r>
    </w:p>
    <w:p w14:paraId="61E8F4C0">
      <w:pPr>
        <w:pStyle w:val="61"/>
        <w:numPr>
          <w:ilvl w:val="0"/>
          <w:numId w:val="7"/>
        </w:numPr>
        <w:ind w:left="709" w:hanging="425" w:firstLineChars="0"/>
        <w:rPr>
          <w:rFonts w:hint="eastAsia" w:ascii="仿宋" w:hAnsi="仿宋" w:eastAsia="仿宋" w:cs="仿宋"/>
        </w:rPr>
      </w:pPr>
      <w:r>
        <w:rPr>
          <w:rFonts w:hint="eastAsia" w:ascii="仿宋" w:hAnsi="仿宋" w:eastAsia="仿宋" w:cs="仿宋"/>
        </w:rPr>
        <w:t>文件备份：支持Windows/Linux下文件、文件夹、卷的同步备份及增量同步备份；包含高级参数编制功能，可于备份前进行自定义配置，以实现源端重删、压缩等效果</w:t>
      </w:r>
    </w:p>
    <w:p w14:paraId="2B0CE687">
      <w:pPr>
        <w:pStyle w:val="61"/>
        <w:numPr>
          <w:ilvl w:val="0"/>
          <w:numId w:val="7"/>
        </w:numPr>
        <w:ind w:hanging="556" w:firstLineChars="0"/>
        <w:rPr>
          <w:rFonts w:hint="eastAsia" w:ascii="仿宋" w:hAnsi="仿宋" w:eastAsia="仿宋" w:cs="仿宋"/>
        </w:rPr>
      </w:pPr>
      <w:r>
        <w:rPr>
          <w:rFonts w:hint="eastAsia" w:ascii="仿宋" w:hAnsi="仿宋" w:eastAsia="仿宋" w:cs="仿宋"/>
        </w:rPr>
        <w:t>操作系统备份：支持Windows/Linux操作系统的全量备份与差异增量备份，实现系统的数据安全保护。</w:t>
      </w:r>
    </w:p>
    <w:p w14:paraId="23E317A9">
      <w:pPr>
        <w:pStyle w:val="61"/>
        <w:numPr>
          <w:ilvl w:val="0"/>
          <w:numId w:val="7"/>
        </w:numPr>
        <w:ind w:hanging="556" w:firstLineChars="0"/>
        <w:rPr>
          <w:rFonts w:hint="eastAsia" w:ascii="仿宋" w:hAnsi="仿宋" w:eastAsia="仿宋" w:cs="仿宋"/>
        </w:rPr>
      </w:pPr>
      <w:r>
        <w:rPr>
          <w:rFonts w:hint="eastAsia" w:ascii="仿宋" w:hAnsi="仿宋" w:eastAsia="仿宋" w:cs="仿宋"/>
        </w:rPr>
        <w:t>数据库灾备保护：国外数据库支持Oracle、SQL Server、Mysql、DB2、Cache、Sybase、PostgreSQL等国外数据库的全量备份/增量备份/CDP日志备份等多种备份方式，国产数据库</w:t>
      </w:r>
      <w:r>
        <w:rPr>
          <w:rFonts w:hint="eastAsia" w:ascii="仿宋" w:hAnsi="仿宋" w:eastAsia="仿宋" w:cs="仿宋"/>
        </w:rPr>
        <w:tab/>
      </w:r>
      <w:r>
        <w:rPr>
          <w:rFonts w:hint="eastAsia" w:ascii="仿宋" w:hAnsi="仿宋" w:eastAsia="仿宋" w:cs="仿宋"/>
        </w:rPr>
        <w:t>支持人大金仓、武汉达梦、神舟通用、南大通用等国产数据库的全量备份/增量备份/CDP日志备份等多种备份方式，BCT加持支持在 Oracle备份作业中通过配置BCT（Block Change Tracking）启动选项，实现BCT启动的全自动化处理，大幅提高备份速度，无需人工指令操作，表级恢复</w:t>
      </w:r>
      <w:r>
        <w:rPr>
          <w:rFonts w:hint="eastAsia" w:ascii="仿宋" w:hAnsi="仿宋" w:eastAsia="仿宋" w:cs="仿宋"/>
        </w:rPr>
        <w:tab/>
      </w:r>
      <w:r>
        <w:rPr>
          <w:rFonts w:hint="eastAsia" w:ascii="仿宋" w:hAnsi="仿宋" w:eastAsia="仿宋" w:cs="仿宋"/>
        </w:rPr>
        <w:t>支持以非脚本的方式实现对Oracle数据库的单表级细粒度恢复，且支持在线恢复，不影响恢复过程中对Oracle其它正常数据的在线使用。</w:t>
      </w:r>
    </w:p>
    <w:p w14:paraId="70E0547B">
      <w:pPr>
        <w:pStyle w:val="61"/>
        <w:numPr>
          <w:ilvl w:val="0"/>
          <w:numId w:val="7"/>
        </w:numPr>
        <w:ind w:hanging="556" w:firstLineChars="0"/>
        <w:rPr>
          <w:rFonts w:hint="eastAsia" w:ascii="仿宋" w:hAnsi="仿宋" w:eastAsia="仿宋" w:cs="仿宋"/>
        </w:rPr>
      </w:pPr>
      <w:r>
        <w:rPr>
          <w:rFonts w:hint="eastAsia" w:ascii="仿宋" w:hAnsi="仿宋" w:eastAsia="仿宋" w:cs="仿宋"/>
        </w:rPr>
        <w:t>虚拟化灾备保护；虚拟机备份支持VMware EXSI、微软Hyper-v、深信服acloud等平台虚拟机的全量备份及增量备份（无需安装任何代理软件）</w:t>
      </w:r>
    </w:p>
    <w:p w14:paraId="370B6347">
      <w:pPr>
        <w:pStyle w:val="61"/>
        <w:numPr>
          <w:ilvl w:val="0"/>
          <w:numId w:val="7"/>
        </w:numPr>
        <w:ind w:hanging="556" w:firstLineChars="0"/>
        <w:rPr>
          <w:rFonts w:hint="eastAsia" w:ascii="仿宋" w:hAnsi="仿宋" w:eastAsia="仿宋" w:cs="仿宋"/>
        </w:rPr>
      </w:pPr>
      <w:r>
        <w:rPr>
          <w:rFonts w:hint="eastAsia" w:ascii="仿宋" w:hAnsi="仿宋" w:eastAsia="仿宋" w:cs="仿宋"/>
        </w:rPr>
        <w:t>远程控制；应急接管或容灾演练的虚拟机的开关机、修改其主机密码等远程控制功能均可通过WEB管理页面直接进行图形化管理，无须安装任何插件。</w:t>
      </w:r>
    </w:p>
    <w:p w14:paraId="52FAB8D2">
      <w:pPr>
        <w:pStyle w:val="61"/>
        <w:numPr>
          <w:ilvl w:val="0"/>
          <w:numId w:val="7"/>
        </w:numPr>
        <w:ind w:hanging="556" w:firstLineChars="0"/>
        <w:rPr>
          <w:rFonts w:hint="eastAsia" w:ascii="仿宋" w:hAnsi="仿宋" w:eastAsia="仿宋" w:cs="仿宋"/>
        </w:rPr>
      </w:pPr>
      <w:r>
        <w:rPr>
          <w:rFonts w:hint="eastAsia" w:ascii="仿宋" w:hAnsi="仿宋" w:eastAsia="仿宋" w:cs="仿宋"/>
        </w:rPr>
        <w:t>管理平台：平台操作提供直观的简体中文图形化WEB操作管理平台，所有软件功能均为模块化功能，可在该平台完成所有的作业管理操作；显示监控</w:t>
      </w:r>
      <w:r>
        <w:rPr>
          <w:rFonts w:hint="eastAsia" w:ascii="仿宋" w:hAnsi="仿宋" w:eastAsia="仿宋" w:cs="仿宋"/>
        </w:rPr>
        <w:tab/>
      </w:r>
      <w:r>
        <w:rPr>
          <w:rFonts w:hint="eastAsia" w:ascii="仿宋" w:hAnsi="仿宋" w:eastAsia="仿宋" w:cs="仿宋"/>
        </w:rPr>
        <w:t>管理界面直观显示备份情况、恢复情况、接管情况、空间使用情况、空间分配情况、及各类型数据备份恢复信息，数据中心情况（设备数及状态、数据库数及状态、虚拟机数）、事件信息、告警信息；集中管理</w:t>
      </w:r>
      <w:r>
        <w:rPr>
          <w:rFonts w:hint="eastAsia" w:ascii="仿宋" w:hAnsi="仿宋" w:eastAsia="仿宋" w:cs="仿宋"/>
        </w:rPr>
        <w:tab/>
      </w:r>
      <w:r>
        <w:rPr>
          <w:rFonts w:hint="eastAsia" w:ascii="仿宋" w:hAnsi="仿宋" w:eastAsia="仿宋" w:cs="仿宋"/>
        </w:rPr>
        <w:t>提供易于扩展的分布式架构，支持多节点部署，能实现多节点存储资源及计算资源的整合或独立使用，将各节点资源以NFS存储、ISCSI存储、虚拟服务器等方式于同一软件WEB界面集中管理；通知告警</w:t>
      </w:r>
      <w:r>
        <w:rPr>
          <w:rFonts w:hint="eastAsia" w:ascii="仿宋" w:hAnsi="仿宋" w:eastAsia="仿宋" w:cs="仿宋"/>
        </w:rPr>
        <w:tab/>
      </w:r>
      <w:r>
        <w:rPr>
          <w:rFonts w:hint="eastAsia" w:ascii="仿宋" w:hAnsi="仿宋" w:eastAsia="仿宋" w:cs="仿宋"/>
        </w:rPr>
        <w:t>支持丰富的通知告警功能，即时的故障告警功能，提供电子邮件、微信、短信通知或告警功能</w:t>
      </w:r>
    </w:p>
    <w:p w14:paraId="334BA2F7">
      <w:pPr>
        <w:ind w:firstLine="420"/>
        <w:rPr>
          <w:rFonts w:hint="eastAsia" w:ascii="仿宋" w:hAnsi="仿宋" w:eastAsia="仿宋" w:cs="仿宋"/>
        </w:rPr>
      </w:pPr>
    </w:p>
    <w:p w14:paraId="53753D14">
      <w:pPr>
        <w:pStyle w:val="4"/>
        <w:rPr>
          <w:rFonts w:hint="eastAsia" w:ascii="仿宋" w:hAnsi="仿宋" w:eastAsia="仿宋" w:cs="仿宋"/>
        </w:rPr>
      </w:pPr>
      <w:r>
        <w:rPr>
          <w:rFonts w:hint="eastAsia" w:ascii="仿宋" w:hAnsi="仿宋" w:eastAsia="仿宋" w:cs="仿宋"/>
        </w:rPr>
        <w:t>核心网络运维服务</w:t>
      </w:r>
    </w:p>
    <w:p w14:paraId="46DB58AD">
      <w:pPr>
        <w:pStyle w:val="5"/>
        <w:rPr>
          <w:rFonts w:hint="eastAsia" w:ascii="仿宋" w:hAnsi="仿宋" w:eastAsia="仿宋" w:cs="仿宋"/>
          <w:spacing w:val="5"/>
          <w:szCs w:val="24"/>
        </w:rPr>
      </w:pPr>
      <w:r>
        <w:rPr>
          <w:rFonts w:hint="eastAsia" w:ascii="仿宋" w:hAnsi="仿宋" w:eastAsia="仿宋" w:cs="仿宋"/>
          <w:spacing w:val="5"/>
          <w:szCs w:val="24"/>
        </w:rPr>
        <w:t>人员驻场要求</w:t>
      </w:r>
    </w:p>
    <w:p w14:paraId="087EB6BF">
      <w:pPr>
        <w:ind w:firstLine="420"/>
        <w:rPr>
          <w:rFonts w:hint="eastAsia" w:ascii="仿宋" w:hAnsi="仿宋" w:eastAsia="仿宋" w:cs="仿宋"/>
          <w:spacing w:val="5"/>
          <w:szCs w:val="24"/>
        </w:rPr>
      </w:pPr>
      <w:r>
        <w:rPr>
          <w:rFonts w:hint="eastAsia" w:ascii="仿宋" w:hAnsi="仿宋" w:eastAsia="仿宋" w:cs="仿宋"/>
          <w:spacing w:val="5"/>
          <w:szCs w:val="24"/>
        </w:rPr>
        <w:t>供应商需提供2名人员5*8小时驻场服务，针对院方审判大数8楼以及诉服2楼两个机房内的网络设备提供运维服务。</w:t>
      </w:r>
    </w:p>
    <w:p w14:paraId="4CE9CAEF">
      <w:pPr>
        <w:ind w:firstLine="420"/>
        <w:rPr>
          <w:rFonts w:hint="eastAsia" w:ascii="仿宋" w:hAnsi="仿宋" w:eastAsia="仿宋" w:cs="仿宋"/>
          <w:color w:val="FF0000"/>
          <w:spacing w:val="5"/>
          <w:szCs w:val="24"/>
        </w:rPr>
      </w:pPr>
      <w:r>
        <w:rPr>
          <w:rFonts w:hint="eastAsia" w:ascii="仿宋" w:hAnsi="仿宋" w:eastAsia="仿宋" w:cs="仿宋"/>
          <w:spacing w:val="5"/>
          <w:szCs w:val="24"/>
        </w:rPr>
        <w:t>其中网络驻场技术人员1名，主要负责处理院方日常信息中心网络设备常规硬件故障的维护检修；网络综合服务驻场人员1名，负责全院网络状态的实时监控，协调与通知其他服务厂商提供必要的技术支持服务，协调公司内部二线团队支持力量，处理复杂网络故障问题，处理其他综合类工作事项。</w:t>
      </w:r>
    </w:p>
    <w:p w14:paraId="36B86872">
      <w:pPr>
        <w:pStyle w:val="4"/>
        <w:rPr>
          <w:rFonts w:hint="eastAsia" w:ascii="仿宋" w:hAnsi="仿宋" w:eastAsia="仿宋" w:cs="仿宋"/>
        </w:rPr>
      </w:pPr>
      <w:r>
        <w:rPr>
          <w:rFonts w:hint="eastAsia" w:ascii="仿宋" w:hAnsi="仿宋" w:eastAsia="仿宋" w:cs="仿宋"/>
        </w:rPr>
        <w:t>数据库</w:t>
      </w:r>
      <w:r>
        <w:rPr>
          <w:rFonts w:hint="eastAsia" w:ascii="仿宋" w:hAnsi="仿宋" w:eastAsia="仿宋" w:cs="仿宋"/>
          <w:lang w:eastAsia="zh-CN"/>
        </w:rPr>
        <w:t>运维</w:t>
      </w:r>
      <w:r>
        <w:rPr>
          <w:rFonts w:hint="eastAsia" w:ascii="仿宋" w:hAnsi="仿宋" w:eastAsia="仿宋" w:cs="仿宋"/>
        </w:rPr>
        <w:t>服务</w:t>
      </w:r>
    </w:p>
    <w:p w14:paraId="33F37A07">
      <w:pPr>
        <w:ind w:firstLine="420"/>
        <w:rPr>
          <w:rFonts w:hint="eastAsia" w:ascii="仿宋" w:hAnsi="仿宋" w:eastAsia="仿宋" w:cs="仿宋"/>
        </w:rPr>
      </w:pPr>
      <w:r>
        <w:rPr>
          <w:rFonts w:hint="eastAsia" w:ascii="仿宋" w:hAnsi="仿宋" w:eastAsia="仿宋" w:cs="仿宋"/>
        </w:rPr>
        <w:t>数据库</w:t>
      </w:r>
      <w:r>
        <w:rPr>
          <w:rFonts w:hint="eastAsia" w:ascii="仿宋" w:hAnsi="仿宋" w:eastAsia="仿宋" w:cs="仿宋"/>
          <w:lang w:eastAsia="zh-CN"/>
        </w:rPr>
        <w:t>运维</w:t>
      </w:r>
      <w:r>
        <w:rPr>
          <w:rFonts w:hint="eastAsia" w:ascii="仿宋" w:hAnsi="仿宋" w:eastAsia="仿宋" w:cs="仿宋"/>
        </w:rPr>
        <w:t>服务针对院方核心数据库进行总体设计与规划，并每月进行健康状况检查，协助进行应用测试等服务，整体要求如下（不涉及软件授权）：</w:t>
      </w:r>
    </w:p>
    <w:p w14:paraId="5ACCFB24">
      <w:pPr>
        <w:ind w:firstLine="420"/>
        <w:rPr>
          <w:rFonts w:hint="eastAsia" w:ascii="仿宋" w:hAnsi="仿宋" w:eastAsia="仿宋" w:cs="仿宋"/>
        </w:rPr>
      </w:pPr>
      <w:r>
        <w:rPr>
          <w:rFonts w:hint="eastAsia" w:ascii="仿宋" w:hAnsi="仿宋" w:eastAsia="仿宋" w:cs="仿宋"/>
        </w:rPr>
        <w:t>数据库服务测试环境搭建；数据库的安装；数据库软件升级的规划和实施；数据磁盘存储划分，数据库表空间划分；数据库补丁及版本升级服务；数据库备份服务：定期对数据库系统进行备份。</w:t>
      </w:r>
    </w:p>
    <w:p w14:paraId="6A08DBAA">
      <w:pPr>
        <w:ind w:firstLine="420"/>
        <w:rPr>
          <w:rFonts w:hint="eastAsia" w:ascii="仿宋" w:hAnsi="仿宋" w:eastAsia="仿宋" w:cs="仿宋"/>
        </w:rPr>
      </w:pPr>
      <w:r>
        <w:rPr>
          <w:rFonts w:hint="eastAsia" w:ascii="仿宋" w:hAnsi="仿宋" w:eastAsia="仿宋" w:cs="仿宋"/>
        </w:rPr>
        <w:t>具体内容如下：搭建备份环境；检查备份是否正常；规划备份频率和介质数目；保证数据的完整性；数据库可靠性服务（性能调优、性能诊断）：对的数据库进行性能方面的分析、评估、调整，以提高数据库系统的整体性能；数据库日常维护：维护数据库表空间，故障处理，错误修复，维护数据库用户及密码，配合应用系统维护人员处理相应的数据库问题。</w:t>
      </w:r>
    </w:p>
    <w:p w14:paraId="24D3F37D">
      <w:pPr>
        <w:pStyle w:val="5"/>
        <w:rPr>
          <w:rFonts w:hint="eastAsia" w:ascii="仿宋" w:hAnsi="仿宋" w:eastAsia="仿宋" w:cs="仿宋"/>
        </w:rPr>
      </w:pPr>
      <w:r>
        <w:rPr>
          <w:rFonts w:hint="eastAsia" w:ascii="仿宋" w:hAnsi="仿宋" w:eastAsia="仿宋" w:cs="仿宋"/>
        </w:rPr>
        <w:t>巡检服务内容</w:t>
      </w:r>
    </w:p>
    <w:p w14:paraId="06320747">
      <w:pPr>
        <w:numPr>
          <w:ilvl w:val="0"/>
          <w:numId w:val="8"/>
        </w:numPr>
        <w:spacing w:line="440" w:lineRule="exact"/>
        <w:rPr>
          <w:rFonts w:hint="eastAsia" w:ascii="仿宋" w:hAnsi="仿宋" w:eastAsia="仿宋" w:cs="仿宋"/>
          <w:color w:val="000000"/>
          <w:szCs w:val="28"/>
        </w:rPr>
      </w:pPr>
      <w:r>
        <w:rPr>
          <w:rFonts w:hint="eastAsia" w:ascii="仿宋" w:hAnsi="仿宋" w:eastAsia="仿宋" w:cs="仿宋"/>
          <w:color w:val="000000"/>
          <w:szCs w:val="28"/>
        </w:rPr>
        <w:t>针对目前院方核心数据库提供运维服务，每月定期进行巡检，内容包括：</w:t>
      </w:r>
    </w:p>
    <w:p w14:paraId="0034A7A4">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定位数据库当前的运作水平；</w:t>
      </w:r>
    </w:p>
    <w:p w14:paraId="63C5A95C">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分析数据库的规划与配置，并给出合理化建议；</w:t>
      </w:r>
    </w:p>
    <w:p w14:paraId="41650420">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分析数据库的资源使用情况，并给出合理化建议；</w:t>
      </w:r>
    </w:p>
    <w:p w14:paraId="4F931E3F">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分析数据库的安全性，并给出合理化建议；</w:t>
      </w:r>
    </w:p>
    <w:p w14:paraId="7C36E299">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分析数据库的可靠性，并给出合理化建议；</w:t>
      </w:r>
    </w:p>
    <w:p w14:paraId="7D1D1123">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分析数据库运行的性能问题，并给出性能调整和优化建议；</w:t>
      </w:r>
    </w:p>
    <w:p w14:paraId="546EF4E9">
      <w:pPr>
        <w:numPr>
          <w:ilvl w:val="0"/>
          <w:numId w:val="9"/>
        </w:numPr>
        <w:adjustRightInd w:val="0"/>
        <w:spacing w:line="440" w:lineRule="exact"/>
        <w:ind w:left="675" w:firstLine="0"/>
        <w:jc w:val="left"/>
        <w:textAlignment w:val="baseline"/>
        <w:rPr>
          <w:rFonts w:hint="eastAsia" w:ascii="仿宋" w:hAnsi="仿宋" w:eastAsia="仿宋" w:cs="仿宋"/>
          <w:color w:val="000000"/>
          <w:szCs w:val="32"/>
        </w:rPr>
      </w:pPr>
      <w:r>
        <w:rPr>
          <w:rFonts w:hint="eastAsia" w:ascii="仿宋" w:hAnsi="仿宋" w:eastAsia="仿宋" w:cs="仿宋"/>
          <w:color w:val="000000"/>
        </w:rPr>
        <w:t>分析影响性能较大的SQL语句，并结合应用检查，给出合理化建议等</w:t>
      </w:r>
    </w:p>
    <w:p w14:paraId="6206A604">
      <w:pPr>
        <w:numPr>
          <w:ilvl w:val="0"/>
          <w:numId w:val="8"/>
        </w:numPr>
        <w:spacing w:line="440" w:lineRule="exact"/>
        <w:rPr>
          <w:rFonts w:hint="eastAsia" w:ascii="仿宋" w:hAnsi="仿宋" w:eastAsia="仿宋" w:cs="仿宋"/>
          <w:color w:val="000000"/>
          <w:szCs w:val="28"/>
        </w:rPr>
      </w:pPr>
      <w:r>
        <w:rPr>
          <w:rFonts w:hint="eastAsia" w:ascii="仿宋" w:hAnsi="仿宋" w:eastAsia="仿宋" w:cs="仿宋"/>
          <w:color w:val="000000"/>
          <w:szCs w:val="28"/>
        </w:rPr>
        <w:t>每次例行的预防性维护后，由供应商工程师提交预防性维护报告，并由院方人员确认签字</w:t>
      </w:r>
    </w:p>
    <w:p w14:paraId="6F4260A7">
      <w:pPr>
        <w:numPr>
          <w:ilvl w:val="0"/>
          <w:numId w:val="8"/>
        </w:numPr>
        <w:spacing w:line="440" w:lineRule="exact"/>
        <w:rPr>
          <w:rFonts w:hint="eastAsia" w:ascii="仿宋" w:hAnsi="仿宋" w:eastAsia="仿宋" w:cs="仿宋"/>
          <w:color w:val="000000"/>
          <w:szCs w:val="28"/>
        </w:rPr>
      </w:pPr>
      <w:r>
        <w:rPr>
          <w:rFonts w:hint="eastAsia" w:ascii="仿宋" w:hAnsi="仿宋" w:eastAsia="仿宋" w:cs="仿宋"/>
          <w:color w:val="000000"/>
          <w:szCs w:val="28"/>
        </w:rPr>
        <w:t>每月针对院方正在运行的数据库提交巡检报告；</w:t>
      </w:r>
    </w:p>
    <w:p w14:paraId="6F5A7DD1">
      <w:pPr>
        <w:numPr>
          <w:ilvl w:val="0"/>
          <w:numId w:val="8"/>
        </w:numPr>
        <w:spacing w:line="440" w:lineRule="exact"/>
        <w:rPr>
          <w:rFonts w:hint="eastAsia" w:ascii="仿宋" w:hAnsi="仿宋" w:eastAsia="仿宋" w:cs="仿宋"/>
          <w:color w:val="000000"/>
        </w:rPr>
      </w:pPr>
      <w:r>
        <w:rPr>
          <w:rFonts w:hint="eastAsia" w:ascii="仿宋" w:hAnsi="仿宋" w:eastAsia="仿宋" w:cs="仿宋"/>
          <w:color w:val="000000"/>
        </w:rPr>
        <w:t>提供7×24小时的电话技术支持服务和现场维护服务。</w:t>
      </w:r>
    </w:p>
    <w:p w14:paraId="05456958">
      <w:pPr>
        <w:pStyle w:val="5"/>
        <w:rPr>
          <w:rFonts w:hint="eastAsia" w:ascii="仿宋" w:hAnsi="仿宋" w:eastAsia="仿宋" w:cs="仿宋"/>
        </w:rPr>
      </w:pPr>
      <w:r>
        <w:rPr>
          <w:rFonts w:hint="eastAsia" w:ascii="仿宋" w:hAnsi="仿宋" w:eastAsia="仿宋" w:cs="仿宋"/>
        </w:rPr>
        <w:t>紧急救援服务</w:t>
      </w:r>
    </w:p>
    <w:p w14:paraId="06A487FB">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故障发生时，第一时间定位；</w:t>
      </w:r>
    </w:p>
    <w:p w14:paraId="6688B58A">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在故障发生后采取有效的措施，以最短的时间恢复运行；</w:t>
      </w:r>
    </w:p>
    <w:p w14:paraId="689DED86">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将业务影响时间将至最低；</w:t>
      </w:r>
    </w:p>
    <w:p w14:paraId="5587E0BE">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尽可能的挽救用户的数据信息，把用户的损失降在最小范围内；</w:t>
      </w:r>
    </w:p>
    <w:p w14:paraId="13AE7388">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分析问题制定解决方案，防止类似的问题再次发生</w:t>
      </w:r>
    </w:p>
    <w:p w14:paraId="78969511">
      <w:pPr>
        <w:pStyle w:val="5"/>
        <w:rPr>
          <w:rFonts w:hint="eastAsia" w:ascii="仿宋" w:hAnsi="仿宋" w:eastAsia="仿宋" w:cs="仿宋"/>
        </w:rPr>
      </w:pPr>
      <w:r>
        <w:rPr>
          <w:rFonts w:hint="eastAsia" w:ascii="仿宋" w:hAnsi="仿宋" w:eastAsia="仿宋" w:cs="仿宋"/>
        </w:rPr>
        <w:t>性能优化服务</w:t>
      </w:r>
    </w:p>
    <w:p w14:paraId="15A08AEB">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预防式的优化，对数据库可能存在的性能问题，主动进行全面的分析、评估，预防式优化调整，解决系统运行过程中性能的渐进性下降。</w:t>
      </w:r>
    </w:p>
    <w:p w14:paraId="579508E1">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性能故障紧急处置，性能突降时，通过一些技术手段，优化系统性能，减少数据库响应时长，提高业务处理效率。</w:t>
      </w:r>
    </w:p>
    <w:p w14:paraId="36FFE8D9">
      <w:pPr>
        <w:pStyle w:val="5"/>
        <w:rPr>
          <w:rFonts w:hint="eastAsia" w:ascii="仿宋" w:hAnsi="仿宋" w:eastAsia="仿宋" w:cs="仿宋"/>
        </w:rPr>
      </w:pPr>
      <w:r>
        <w:rPr>
          <w:rFonts w:hint="eastAsia" w:ascii="仿宋" w:hAnsi="仿宋" w:eastAsia="仿宋" w:cs="仿宋"/>
        </w:rPr>
        <w:t>深度巡检服务（风险分析）</w:t>
      </w:r>
    </w:p>
    <w:p w14:paraId="427E5F27">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业务性能优化提供支持：</w:t>
      </w:r>
    </w:p>
    <w:p w14:paraId="62724616">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未知风险排查，给出合理预防或整改方案；</w:t>
      </w:r>
    </w:p>
    <w:p w14:paraId="067EFD7F">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系统架构、资源配置提供建议。</w:t>
      </w:r>
    </w:p>
    <w:p w14:paraId="7FD511DB">
      <w:pPr>
        <w:pStyle w:val="5"/>
        <w:rPr>
          <w:rFonts w:hint="eastAsia" w:ascii="仿宋" w:hAnsi="仿宋" w:eastAsia="仿宋" w:cs="仿宋"/>
        </w:rPr>
      </w:pPr>
      <w:r>
        <w:rPr>
          <w:rFonts w:hint="eastAsia" w:ascii="仿宋" w:hAnsi="仿宋" w:eastAsia="仿宋" w:cs="仿宋"/>
        </w:rPr>
        <w:t>资源配置变更服务</w:t>
      </w:r>
    </w:p>
    <w:p w14:paraId="4F7105CB">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规范配置变更步骤；</w:t>
      </w:r>
    </w:p>
    <w:p w14:paraId="0125D5C1">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规避配置变更风险；</w:t>
      </w:r>
    </w:p>
    <w:p w14:paraId="04551184">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达成配置变更目的。</w:t>
      </w:r>
    </w:p>
    <w:p w14:paraId="77792B8F">
      <w:pPr>
        <w:pStyle w:val="5"/>
        <w:rPr>
          <w:rFonts w:hint="eastAsia" w:ascii="仿宋" w:hAnsi="仿宋" w:eastAsia="仿宋" w:cs="仿宋"/>
        </w:rPr>
      </w:pPr>
      <w:bookmarkStart w:id="12" w:name="_Toc20689"/>
      <w:r>
        <w:rPr>
          <w:rFonts w:hint="eastAsia" w:ascii="仿宋" w:hAnsi="仿宋" w:eastAsia="仿宋" w:cs="仿宋"/>
        </w:rPr>
        <w:t>技术培训服务</w:t>
      </w:r>
      <w:bookmarkEnd w:id="12"/>
    </w:p>
    <w:p w14:paraId="34B773B0">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根据院方的要求和人员知识储备情况进行培训大纲优化；</w:t>
      </w:r>
    </w:p>
    <w:p w14:paraId="0AD4B2EB">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满足院方对培训的个性化要求；</w:t>
      </w:r>
    </w:p>
    <w:p w14:paraId="32AD39D1">
      <w:pPr>
        <w:numPr>
          <w:ilvl w:val="0"/>
          <w:numId w:val="9"/>
        </w:numPr>
        <w:adjustRightInd w:val="0"/>
        <w:spacing w:line="440" w:lineRule="exact"/>
        <w:ind w:left="675" w:firstLine="0"/>
        <w:jc w:val="left"/>
        <w:textAlignment w:val="baseline"/>
        <w:rPr>
          <w:rFonts w:hint="eastAsia" w:ascii="仿宋" w:hAnsi="仿宋" w:eastAsia="仿宋" w:cs="仿宋"/>
          <w:color w:val="000000"/>
        </w:rPr>
      </w:pPr>
      <w:r>
        <w:rPr>
          <w:rFonts w:hint="eastAsia" w:ascii="仿宋" w:hAnsi="仿宋" w:eastAsia="仿宋" w:cs="仿宋"/>
          <w:color w:val="000000"/>
        </w:rPr>
        <w:t>最终实现院方运维人员独立对系统建设、架构优化、日常维护的基本操作。</w:t>
      </w:r>
    </w:p>
    <w:p w14:paraId="6C4178BE">
      <w:pPr>
        <w:rPr>
          <w:rFonts w:hint="eastAsia" w:ascii="仿宋" w:hAnsi="仿宋" w:eastAsia="仿宋" w:cs="仿宋"/>
          <w:spacing w:val="5"/>
          <w:szCs w:val="24"/>
        </w:rPr>
      </w:pPr>
    </w:p>
    <w:p w14:paraId="49364AB1">
      <w:pPr>
        <w:pStyle w:val="3"/>
        <w:rPr>
          <w:rFonts w:hint="eastAsia" w:ascii="仿宋" w:hAnsi="仿宋" w:eastAsia="仿宋" w:cs="仿宋"/>
          <w:lang w:val="en-US" w:eastAsia="zh-CN"/>
        </w:rPr>
      </w:pPr>
      <w:bookmarkStart w:id="13" w:name="_Toc500509391"/>
      <w:bookmarkStart w:id="14" w:name="_Toc20807"/>
      <w:r>
        <w:rPr>
          <w:rFonts w:hint="eastAsia" w:ascii="仿宋" w:hAnsi="仿宋" w:eastAsia="仿宋" w:cs="仿宋"/>
          <w:lang w:val="en-US" w:eastAsia="zh-CN"/>
        </w:rPr>
        <w:t>机房精密空调及UPS电源运维服务</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2500"/>
        <w:gridCol w:w="3683"/>
        <w:gridCol w:w="1483"/>
      </w:tblGrid>
      <w:tr w14:paraId="6A3BE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00" w:type="dxa"/>
          </w:tcPr>
          <w:p w14:paraId="230B22D8">
            <w:pPr>
              <w:jc w:val="center"/>
              <w:rPr>
                <w:rFonts w:hint="eastAsia" w:ascii="仿宋" w:hAnsi="仿宋" w:eastAsia="仿宋" w:cs="仿宋"/>
                <w:b/>
                <w:bCs/>
                <w:vertAlign w:val="baseline"/>
                <w:lang w:val="en-US" w:eastAsia="zh-CN"/>
              </w:rPr>
            </w:pPr>
            <w:r>
              <w:rPr>
                <w:rFonts w:hint="eastAsia" w:ascii="仿宋" w:hAnsi="仿宋" w:eastAsia="仿宋" w:cs="仿宋"/>
                <w:b/>
                <w:bCs/>
                <w:vertAlign w:val="baseline"/>
                <w:lang w:val="en-US" w:eastAsia="zh-CN"/>
              </w:rPr>
              <w:t>序号</w:t>
            </w:r>
          </w:p>
        </w:tc>
        <w:tc>
          <w:tcPr>
            <w:tcW w:w="2500" w:type="dxa"/>
          </w:tcPr>
          <w:p w14:paraId="7B53894F">
            <w:pPr>
              <w:jc w:val="center"/>
              <w:rPr>
                <w:rFonts w:hint="eastAsia" w:ascii="仿宋" w:hAnsi="仿宋" w:eastAsia="仿宋" w:cs="仿宋"/>
                <w:b/>
                <w:bCs/>
                <w:vertAlign w:val="baseline"/>
                <w:lang w:val="en-US" w:eastAsia="zh-CN"/>
              </w:rPr>
            </w:pPr>
            <w:r>
              <w:rPr>
                <w:rFonts w:hint="eastAsia" w:ascii="仿宋" w:hAnsi="仿宋" w:eastAsia="仿宋" w:cs="仿宋"/>
                <w:b/>
                <w:bCs/>
                <w:vertAlign w:val="baseline"/>
                <w:lang w:val="en-US" w:eastAsia="zh-CN"/>
              </w:rPr>
              <w:t>设备名称</w:t>
            </w:r>
          </w:p>
        </w:tc>
        <w:tc>
          <w:tcPr>
            <w:tcW w:w="3683" w:type="dxa"/>
          </w:tcPr>
          <w:p w14:paraId="39C090C9">
            <w:pPr>
              <w:jc w:val="center"/>
              <w:rPr>
                <w:rFonts w:hint="eastAsia" w:ascii="仿宋" w:hAnsi="仿宋" w:eastAsia="仿宋" w:cs="仿宋"/>
                <w:b/>
                <w:bCs/>
                <w:vertAlign w:val="baseline"/>
                <w:lang w:val="en-US" w:eastAsia="zh-CN"/>
              </w:rPr>
            </w:pPr>
            <w:r>
              <w:rPr>
                <w:rFonts w:hint="eastAsia" w:ascii="仿宋" w:hAnsi="仿宋" w:eastAsia="仿宋" w:cs="仿宋"/>
                <w:b/>
                <w:bCs/>
                <w:vertAlign w:val="baseline"/>
                <w:lang w:val="en-US" w:eastAsia="zh-CN"/>
              </w:rPr>
              <w:t>品牌型号</w:t>
            </w:r>
          </w:p>
        </w:tc>
        <w:tc>
          <w:tcPr>
            <w:tcW w:w="1483" w:type="dxa"/>
          </w:tcPr>
          <w:p w14:paraId="04E70E72">
            <w:pPr>
              <w:jc w:val="center"/>
              <w:rPr>
                <w:rFonts w:hint="eastAsia" w:ascii="仿宋" w:hAnsi="仿宋" w:eastAsia="仿宋" w:cs="仿宋"/>
                <w:b/>
                <w:bCs/>
                <w:vertAlign w:val="baseline"/>
                <w:lang w:val="en-US" w:eastAsia="zh-CN"/>
              </w:rPr>
            </w:pPr>
            <w:r>
              <w:rPr>
                <w:rFonts w:hint="eastAsia" w:ascii="仿宋" w:hAnsi="仿宋" w:eastAsia="仿宋" w:cs="仿宋"/>
                <w:b/>
                <w:bCs/>
                <w:vertAlign w:val="baseline"/>
                <w:lang w:val="en-US" w:eastAsia="zh-CN"/>
              </w:rPr>
              <w:t>数量</w:t>
            </w:r>
          </w:p>
        </w:tc>
      </w:tr>
      <w:tr w14:paraId="5ECF7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tcPr>
          <w:p w14:paraId="724D4721">
            <w:pPr>
              <w:jc w:val="center"/>
              <w:rPr>
                <w:rFonts w:hint="eastAsia" w:ascii="仿宋" w:hAnsi="仿宋" w:eastAsia="仿宋" w:cs="仿宋"/>
                <w:vertAlign w:val="baseline"/>
                <w:lang w:val="en-US" w:eastAsia="zh-CN"/>
              </w:rPr>
            </w:pPr>
            <w:r>
              <w:rPr>
                <w:rFonts w:hint="eastAsia" w:ascii="仿宋" w:hAnsi="仿宋" w:eastAsia="仿宋" w:cs="仿宋"/>
                <w:vertAlign w:val="baseline"/>
                <w:lang w:val="en-US" w:eastAsia="zh-CN"/>
              </w:rPr>
              <w:t>1</w:t>
            </w:r>
          </w:p>
        </w:tc>
        <w:tc>
          <w:tcPr>
            <w:tcW w:w="2500" w:type="dxa"/>
          </w:tcPr>
          <w:p w14:paraId="14CA82DC">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精密空调</w:t>
            </w:r>
          </w:p>
        </w:tc>
        <w:tc>
          <w:tcPr>
            <w:tcW w:w="3683" w:type="dxa"/>
          </w:tcPr>
          <w:p w14:paraId="13863596">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施耐德TDAR2202</w:t>
            </w:r>
          </w:p>
        </w:tc>
        <w:tc>
          <w:tcPr>
            <w:tcW w:w="1483" w:type="dxa"/>
          </w:tcPr>
          <w:p w14:paraId="6EEEA516">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1套</w:t>
            </w:r>
          </w:p>
        </w:tc>
      </w:tr>
      <w:tr w14:paraId="6A9F4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tcPr>
          <w:p w14:paraId="0AC7B6AA">
            <w:pPr>
              <w:jc w:val="center"/>
              <w:rPr>
                <w:rFonts w:hint="eastAsia" w:ascii="仿宋" w:hAnsi="仿宋" w:eastAsia="仿宋" w:cs="仿宋"/>
                <w:vertAlign w:val="baseline"/>
                <w:lang w:val="en-US" w:eastAsia="zh-CN"/>
              </w:rPr>
            </w:pPr>
            <w:r>
              <w:rPr>
                <w:rFonts w:hint="eastAsia" w:ascii="仿宋" w:hAnsi="仿宋" w:eastAsia="仿宋" w:cs="仿宋"/>
                <w:vertAlign w:val="baseline"/>
                <w:lang w:val="en-US" w:eastAsia="zh-CN"/>
              </w:rPr>
              <w:t>2</w:t>
            </w:r>
          </w:p>
        </w:tc>
        <w:tc>
          <w:tcPr>
            <w:tcW w:w="2500" w:type="dxa"/>
          </w:tcPr>
          <w:p w14:paraId="4CEDDF66">
            <w:pPr>
              <w:jc w:val="center"/>
              <w:rPr>
                <w:rFonts w:hint="eastAsia" w:ascii="仿宋" w:hAnsi="仿宋" w:eastAsia="仿宋" w:cs="仿宋"/>
                <w:vertAlign w:val="baseline"/>
              </w:rPr>
            </w:pPr>
            <w:r>
              <w:rPr>
                <w:rFonts w:hint="eastAsia" w:ascii="仿宋" w:hAnsi="仿宋" w:eastAsia="仿宋" w:cs="仿宋"/>
                <w:vertAlign w:val="baseline"/>
                <w:lang w:val="en-US" w:eastAsia="zh-CN"/>
              </w:rPr>
              <w:t>精密空调</w:t>
            </w:r>
          </w:p>
        </w:tc>
        <w:tc>
          <w:tcPr>
            <w:tcW w:w="3683" w:type="dxa"/>
          </w:tcPr>
          <w:p w14:paraId="6CE39D39">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世图兹CCD201A-0210</w:t>
            </w:r>
          </w:p>
        </w:tc>
        <w:tc>
          <w:tcPr>
            <w:tcW w:w="1483" w:type="dxa"/>
          </w:tcPr>
          <w:p w14:paraId="37F94F43">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1套</w:t>
            </w:r>
          </w:p>
        </w:tc>
      </w:tr>
      <w:tr w14:paraId="1DC6E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tcPr>
          <w:p w14:paraId="3C4BE42B">
            <w:pPr>
              <w:jc w:val="center"/>
              <w:rPr>
                <w:rFonts w:hint="eastAsia" w:ascii="仿宋" w:hAnsi="仿宋" w:eastAsia="仿宋" w:cs="仿宋"/>
                <w:vertAlign w:val="baseline"/>
                <w:lang w:val="en-US" w:eastAsia="zh-CN"/>
              </w:rPr>
            </w:pPr>
            <w:r>
              <w:rPr>
                <w:rFonts w:hint="eastAsia" w:ascii="仿宋" w:hAnsi="仿宋" w:eastAsia="仿宋" w:cs="仿宋"/>
                <w:vertAlign w:val="baseline"/>
                <w:lang w:val="en-US" w:eastAsia="zh-CN"/>
              </w:rPr>
              <w:t>3</w:t>
            </w:r>
          </w:p>
        </w:tc>
        <w:tc>
          <w:tcPr>
            <w:tcW w:w="2500" w:type="dxa"/>
          </w:tcPr>
          <w:p w14:paraId="386424B1">
            <w:pPr>
              <w:jc w:val="center"/>
              <w:rPr>
                <w:rFonts w:hint="eastAsia" w:ascii="仿宋" w:hAnsi="仿宋" w:eastAsia="仿宋" w:cs="仿宋"/>
                <w:vertAlign w:val="baseline"/>
              </w:rPr>
            </w:pPr>
            <w:r>
              <w:rPr>
                <w:rFonts w:hint="eastAsia" w:ascii="仿宋" w:hAnsi="仿宋" w:eastAsia="仿宋" w:cs="仿宋"/>
                <w:vertAlign w:val="baseline"/>
                <w:lang w:val="en-US" w:eastAsia="zh-CN"/>
              </w:rPr>
              <w:t>精密空调</w:t>
            </w:r>
          </w:p>
        </w:tc>
        <w:tc>
          <w:tcPr>
            <w:tcW w:w="3683" w:type="dxa"/>
            <w:shd w:val="clear" w:color="auto" w:fill="auto"/>
            <w:vAlign w:val="top"/>
          </w:tcPr>
          <w:p w14:paraId="0523D8B7">
            <w:pPr>
              <w:jc w:val="center"/>
              <w:rPr>
                <w:rFonts w:hint="default" w:ascii="仿宋" w:hAnsi="仿宋" w:eastAsia="仿宋" w:cs="仿宋"/>
                <w:kern w:val="2"/>
                <w:sz w:val="24"/>
                <w:szCs w:val="22"/>
                <w:vertAlign w:val="baseline"/>
                <w:lang w:val="en-US" w:eastAsia="zh-CN" w:bidi="ar-SA"/>
              </w:rPr>
            </w:pPr>
            <w:r>
              <w:rPr>
                <w:rFonts w:hint="eastAsia" w:ascii="仿宋" w:hAnsi="仿宋" w:eastAsia="仿宋" w:cs="仿宋"/>
                <w:vertAlign w:val="baseline"/>
                <w:lang w:val="en-US" w:eastAsia="zh-CN"/>
              </w:rPr>
              <w:t>世图兹ASD712A</w:t>
            </w:r>
          </w:p>
        </w:tc>
        <w:tc>
          <w:tcPr>
            <w:tcW w:w="1483" w:type="dxa"/>
          </w:tcPr>
          <w:p w14:paraId="28F49F6C">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3套</w:t>
            </w:r>
          </w:p>
        </w:tc>
      </w:tr>
      <w:tr w14:paraId="47DB9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tcPr>
          <w:p w14:paraId="57F4DF54">
            <w:pPr>
              <w:jc w:val="center"/>
              <w:rPr>
                <w:rFonts w:hint="eastAsia" w:ascii="仿宋" w:hAnsi="仿宋" w:eastAsia="仿宋" w:cs="仿宋"/>
                <w:vertAlign w:val="baseline"/>
                <w:lang w:val="en-US" w:eastAsia="zh-CN"/>
              </w:rPr>
            </w:pPr>
            <w:r>
              <w:rPr>
                <w:rFonts w:hint="eastAsia" w:ascii="仿宋" w:hAnsi="仿宋" w:eastAsia="仿宋" w:cs="仿宋"/>
                <w:vertAlign w:val="baseline"/>
                <w:lang w:val="en-US" w:eastAsia="zh-CN"/>
              </w:rPr>
              <w:t>4</w:t>
            </w:r>
          </w:p>
        </w:tc>
        <w:tc>
          <w:tcPr>
            <w:tcW w:w="2500" w:type="dxa"/>
          </w:tcPr>
          <w:p w14:paraId="034DFE6C">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精密空调</w:t>
            </w:r>
          </w:p>
        </w:tc>
        <w:tc>
          <w:tcPr>
            <w:tcW w:w="3683" w:type="dxa"/>
          </w:tcPr>
          <w:p w14:paraId="68B4061E">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海瑞弗</w:t>
            </w:r>
          </w:p>
        </w:tc>
        <w:tc>
          <w:tcPr>
            <w:tcW w:w="1483" w:type="dxa"/>
          </w:tcPr>
          <w:p w14:paraId="06D355EB">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1套</w:t>
            </w:r>
          </w:p>
        </w:tc>
      </w:tr>
      <w:tr w14:paraId="556F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tcPr>
          <w:p w14:paraId="2DCBAD86">
            <w:pPr>
              <w:jc w:val="center"/>
              <w:rPr>
                <w:rFonts w:hint="eastAsia" w:ascii="仿宋" w:hAnsi="仿宋" w:eastAsia="仿宋" w:cs="仿宋"/>
                <w:vertAlign w:val="baseline"/>
                <w:lang w:val="en-US" w:eastAsia="zh-CN"/>
              </w:rPr>
            </w:pPr>
            <w:r>
              <w:rPr>
                <w:rFonts w:hint="eastAsia" w:ascii="仿宋" w:hAnsi="仿宋" w:eastAsia="仿宋" w:cs="仿宋"/>
                <w:vertAlign w:val="baseline"/>
                <w:lang w:val="en-US" w:eastAsia="zh-CN"/>
              </w:rPr>
              <w:t>5</w:t>
            </w:r>
          </w:p>
        </w:tc>
        <w:tc>
          <w:tcPr>
            <w:tcW w:w="2500" w:type="dxa"/>
          </w:tcPr>
          <w:p w14:paraId="49849BEF">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UPS电源</w:t>
            </w:r>
          </w:p>
        </w:tc>
        <w:tc>
          <w:tcPr>
            <w:tcW w:w="3683" w:type="dxa"/>
          </w:tcPr>
          <w:p w14:paraId="5F13108D">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PM-030-150K</w:t>
            </w:r>
          </w:p>
        </w:tc>
        <w:tc>
          <w:tcPr>
            <w:tcW w:w="1483" w:type="dxa"/>
          </w:tcPr>
          <w:p w14:paraId="4119487E">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2套</w:t>
            </w:r>
          </w:p>
        </w:tc>
      </w:tr>
      <w:tr w14:paraId="45686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00" w:type="dxa"/>
          </w:tcPr>
          <w:p w14:paraId="7B8B41CC">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6</w:t>
            </w:r>
          </w:p>
        </w:tc>
        <w:tc>
          <w:tcPr>
            <w:tcW w:w="2500" w:type="dxa"/>
          </w:tcPr>
          <w:p w14:paraId="58BB0DAB">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UPS电源</w:t>
            </w:r>
          </w:p>
        </w:tc>
        <w:tc>
          <w:tcPr>
            <w:tcW w:w="3683" w:type="dxa"/>
          </w:tcPr>
          <w:p w14:paraId="34159E2E">
            <w:pPr>
              <w:jc w:val="center"/>
              <w:rPr>
                <w:rFonts w:hint="eastAsia" w:ascii="仿宋" w:hAnsi="仿宋" w:eastAsia="仿宋" w:cs="仿宋"/>
                <w:vertAlign w:val="baseline"/>
              </w:rPr>
            </w:pPr>
            <w:r>
              <w:rPr>
                <w:rFonts w:hint="eastAsia" w:ascii="仿宋" w:hAnsi="仿宋" w:eastAsia="仿宋" w:cs="仿宋"/>
                <w:vertAlign w:val="baseline"/>
                <w:lang w:val="en-US" w:eastAsia="zh-CN"/>
              </w:rPr>
              <w:t>PM-030-60K</w:t>
            </w:r>
          </w:p>
        </w:tc>
        <w:tc>
          <w:tcPr>
            <w:tcW w:w="1483" w:type="dxa"/>
          </w:tcPr>
          <w:p w14:paraId="66E611F0">
            <w:pPr>
              <w:jc w:val="center"/>
              <w:rPr>
                <w:rFonts w:hint="default" w:ascii="仿宋" w:hAnsi="仿宋" w:eastAsia="仿宋" w:cs="仿宋"/>
                <w:vertAlign w:val="baseline"/>
                <w:lang w:val="en-US" w:eastAsia="zh-CN"/>
              </w:rPr>
            </w:pPr>
            <w:r>
              <w:rPr>
                <w:rFonts w:hint="eastAsia" w:ascii="仿宋" w:hAnsi="仿宋" w:eastAsia="仿宋" w:cs="仿宋"/>
                <w:vertAlign w:val="baseline"/>
                <w:lang w:val="en-US" w:eastAsia="zh-CN"/>
              </w:rPr>
              <w:t>1套</w:t>
            </w:r>
          </w:p>
        </w:tc>
      </w:tr>
    </w:tbl>
    <w:p w14:paraId="14655CF8">
      <w:pPr>
        <w:rPr>
          <w:rFonts w:hint="eastAsia"/>
        </w:rPr>
      </w:pPr>
    </w:p>
    <w:p w14:paraId="42DC4B95">
      <w:pPr>
        <w:pStyle w:val="61"/>
        <w:ind w:firstLine="477" w:firstLineChars="191"/>
        <w:rPr>
          <w:rFonts w:hint="default" w:ascii="仿宋" w:hAnsi="仿宋" w:eastAsia="仿宋" w:cs="仿宋"/>
          <w:spacing w:val="5"/>
          <w:szCs w:val="24"/>
          <w:lang w:val="en-US" w:eastAsia="zh-CN"/>
        </w:rPr>
      </w:pPr>
      <w:r>
        <w:rPr>
          <w:rFonts w:hint="eastAsia" w:ascii="仿宋" w:hAnsi="仿宋" w:eastAsia="仿宋" w:cs="仿宋"/>
          <w:spacing w:val="5"/>
          <w:szCs w:val="24"/>
        </w:rPr>
        <w:t>1.</w:t>
      </w:r>
      <w:r>
        <w:rPr>
          <w:rFonts w:hint="eastAsia" w:ascii="仿宋" w:hAnsi="仿宋" w:eastAsia="仿宋" w:cs="仿宋"/>
          <w:spacing w:val="5"/>
          <w:szCs w:val="24"/>
          <w:lang w:val="en-US" w:eastAsia="zh-CN"/>
        </w:rPr>
        <w:t>提供服务范围内设备的运维及技术支持服务，主要工作是日常的定期预防性维护、设备出现故障后的紧急维护、故障的解决及其他相关技术支持服务等。运维设备服务范围包括设备维保清单中的UPS设备机头（不含电池）的维保和提供配套维护、优化、故障的解决;所有UPS不间断电源系统设备主机、电池组的定期巡检、系统参数优化、及其他相关技术支持等服务。所有空调设备室内机、室外机的维保、故障处理、过滤网更换、排水管道的清理等。</w:t>
      </w:r>
    </w:p>
    <w:p w14:paraId="0F0F6032">
      <w:pPr>
        <w:pStyle w:val="61"/>
        <w:ind w:firstLine="477" w:firstLineChars="191"/>
        <w:rPr>
          <w:rFonts w:hint="eastAsia" w:ascii="仿宋" w:hAnsi="仿宋" w:eastAsia="仿宋" w:cs="仿宋"/>
          <w:spacing w:val="5"/>
          <w:szCs w:val="24"/>
        </w:rPr>
      </w:pPr>
      <w:r>
        <w:rPr>
          <w:rFonts w:hint="eastAsia" w:ascii="仿宋" w:hAnsi="仿宋" w:eastAsia="仿宋" w:cs="仿宋"/>
          <w:spacing w:val="5"/>
          <w:szCs w:val="24"/>
        </w:rPr>
        <w:t>2.根据甲方环境及要求，建立所有硬件及相关系统软件各种故障的应急预案，包括恢复流程及紧急措施,运维过程中加强与设备原厂商的联系，在甲方认为有必要请设备原厂商进行现场技术服务时，积极协调原厂商技术人员在最快时间内到达甲方现场进行技术服务。</w:t>
      </w:r>
    </w:p>
    <w:p w14:paraId="3EA48E8B">
      <w:pPr>
        <w:pStyle w:val="61"/>
        <w:ind w:firstLine="477" w:firstLineChars="191"/>
        <w:rPr>
          <w:rFonts w:hint="eastAsia" w:ascii="仿宋" w:hAnsi="仿宋" w:eastAsia="仿宋" w:cs="仿宋"/>
          <w:spacing w:val="5"/>
          <w:szCs w:val="24"/>
        </w:rPr>
      </w:pPr>
      <w:r>
        <w:rPr>
          <w:rFonts w:hint="eastAsia" w:ascii="仿宋" w:hAnsi="仿宋" w:eastAsia="仿宋" w:cs="仿宋"/>
          <w:spacing w:val="5"/>
          <w:szCs w:val="24"/>
        </w:rPr>
        <w:t>3.根据甲方的要求进行巡视性维护，对设备清洁、测试、调整、更换易损件，消除设备隐患:对甲方的设备进行系统运行性能诊断。</w:t>
      </w:r>
    </w:p>
    <w:p w14:paraId="38E28766">
      <w:pPr>
        <w:pStyle w:val="61"/>
        <w:ind w:firstLine="477" w:firstLineChars="191"/>
        <w:rPr>
          <w:rFonts w:hint="eastAsia" w:ascii="仿宋" w:hAnsi="仿宋" w:eastAsia="仿宋" w:cs="仿宋"/>
          <w:spacing w:val="5"/>
          <w:szCs w:val="24"/>
          <w:lang w:eastAsia="zh-CN"/>
        </w:rPr>
      </w:pPr>
      <w:r>
        <w:rPr>
          <w:rFonts w:hint="eastAsia" w:ascii="仿宋" w:hAnsi="仿宋" w:eastAsia="仿宋" w:cs="仿宋"/>
          <w:spacing w:val="5"/>
          <w:szCs w:val="24"/>
          <w:lang w:val="en-US" w:eastAsia="zh-CN"/>
        </w:rPr>
        <w:t>4</w:t>
      </w:r>
      <w:r>
        <w:rPr>
          <w:rFonts w:hint="eastAsia" w:ascii="仿宋" w:hAnsi="仿宋" w:eastAsia="仿宋" w:cs="仿宋"/>
          <w:spacing w:val="5"/>
          <w:szCs w:val="24"/>
        </w:rPr>
        <w:t>.每2月例行对设备运行状态进行一次全面检测</w:t>
      </w:r>
      <w:r>
        <w:rPr>
          <w:rFonts w:hint="eastAsia" w:ascii="仿宋" w:hAnsi="仿宋" w:eastAsia="仿宋" w:cs="仿宋"/>
          <w:spacing w:val="5"/>
          <w:szCs w:val="24"/>
          <w:lang w:eastAsia="zh-CN"/>
        </w:rPr>
        <w:t>。</w:t>
      </w:r>
    </w:p>
    <w:p w14:paraId="3811DB5D">
      <w:pPr>
        <w:pStyle w:val="61"/>
        <w:ind w:firstLine="477" w:firstLineChars="191"/>
        <w:rPr>
          <w:rFonts w:hint="eastAsia" w:ascii="仿宋" w:hAnsi="仿宋" w:eastAsia="仿宋" w:cs="仿宋"/>
          <w:spacing w:val="5"/>
          <w:szCs w:val="24"/>
        </w:rPr>
      </w:pPr>
      <w:r>
        <w:rPr>
          <w:rFonts w:hint="eastAsia" w:ascii="仿宋" w:hAnsi="仿宋" w:eastAsia="仿宋" w:cs="仿宋"/>
          <w:spacing w:val="5"/>
          <w:szCs w:val="24"/>
          <w:lang w:val="en-US" w:eastAsia="zh-CN"/>
        </w:rPr>
        <w:t>5</w:t>
      </w:r>
      <w:r>
        <w:rPr>
          <w:rFonts w:hint="eastAsia" w:ascii="仿宋" w:hAnsi="仿宋" w:eastAsia="仿宋" w:cs="仿宋"/>
          <w:spacing w:val="5"/>
          <w:szCs w:val="24"/>
        </w:rPr>
        <w:t>.每季度一次正常运行周期维护。</w:t>
      </w:r>
    </w:p>
    <w:p w14:paraId="1F7DC07C">
      <w:pPr>
        <w:pStyle w:val="61"/>
        <w:ind w:firstLine="477" w:firstLineChars="191"/>
        <w:rPr>
          <w:rFonts w:hint="default" w:ascii="仿宋" w:hAnsi="仿宋" w:eastAsia="仿宋" w:cs="仿宋"/>
          <w:spacing w:val="5"/>
          <w:szCs w:val="24"/>
          <w:lang w:val="en-US" w:eastAsia="zh-CN"/>
        </w:rPr>
      </w:pPr>
      <w:r>
        <w:rPr>
          <w:rFonts w:hint="eastAsia" w:ascii="仿宋" w:hAnsi="仿宋" w:eastAsia="仿宋" w:cs="仿宋"/>
          <w:spacing w:val="5"/>
          <w:szCs w:val="24"/>
          <w:lang w:val="en-US" w:eastAsia="zh-CN"/>
        </w:rPr>
        <w:t>6.运维服务内容</w:t>
      </w:r>
      <w:r>
        <w:rPr>
          <w:rFonts w:hint="eastAsia" w:ascii="仿宋" w:hAnsi="仿宋" w:eastAsia="仿宋" w:cs="仿宋"/>
          <w:spacing w:val="5"/>
          <w:szCs w:val="24"/>
          <w:lang w:eastAsia="zh-CN"/>
        </w:rPr>
        <w:t>包含所有损坏配件。</w:t>
      </w:r>
    </w:p>
    <w:p w14:paraId="3280B7C8">
      <w:pPr>
        <w:pStyle w:val="3"/>
        <w:rPr>
          <w:rFonts w:hint="eastAsia" w:ascii="仿宋" w:hAnsi="仿宋" w:eastAsia="仿宋" w:cs="仿宋"/>
          <w:lang w:val="en-US" w:eastAsia="zh-CN"/>
        </w:rPr>
      </w:pPr>
      <w:r>
        <w:rPr>
          <w:rFonts w:hint="eastAsia" w:ascii="仿宋" w:hAnsi="仿宋" w:eastAsia="仿宋" w:cs="仿宋"/>
          <w:lang w:val="en-US" w:eastAsia="zh-CN"/>
        </w:rPr>
        <w:t>机房动力环境集中监控系统运维服务</w:t>
      </w:r>
    </w:p>
    <w:tbl>
      <w:tblPr>
        <w:tblStyle w:val="39"/>
        <w:tblpPr w:leftFromText="180" w:rightFromText="180" w:vertAnchor="text" w:horzAnchor="margin" w:tblpXSpec="center" w:tblpY="143"/>
        <w:tblW w:w="65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548"/>
        <w:gridCol w:w="1080"/>
        <w:gridCol w:w="1080"/>
      </w:tblGrid>
      <w:tr w14:paraId="72B59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6" w:type="dxa"/>
            <w:shd w:val="clear" w:color="auto" w:fill="auto"/>
            <w:noWrap/>
            <w:vAlign w:val="bottom"/>
          </w:tcPr>
          <w:p w14:paraId="21800D19">
            <w:pPr>
              <w:widowControl/>
              <w:jc w:val="left"/>
              <w:rPr>
                <w:rFonts w:hint="eastAsia" w:ascii="宋体" w:hAnsi="宋体" w:cs="宋体"/>
                <w:color w:val="000000"/>
                <w:kern w:val="0"/>
                <w:sz w:val="22"/>
              </w:rPr>
            </w:pPr>
            <w:r>
              <w:rPr>
                <w:rFonts w:hint="eastAsia" w:ascii="宋体" w:hAnsi="宋体" w:cs="宋体"/>
                <w:color w:val="000000"/>
                <w:kern w:val="0"/>
                <w:sz w:val="22"/>
              </w:rPr>
              <w:t>序号</w:t>
            </w:r>
          </w:p>
        </w:tc>
        <w:tc>
          <w:tcPr>
            <w:tcW w:w="3548" w:type="dxa"/>
            <w:shd w:val="clear" w:color="auto" w:fill="auto"/>
            <w:noWrap/>
            <w:vAlign w:val="bottom"/>
          </w:tcPr>
          <w:p w14:paraId="17A9FF9C">
            <w:pPr>
              <w:widowControl/>
              <w:jc w:val="center"/>
              <w:rPr>
                <w:rFonts w:hint="eastAsia" w:ascii="宋体" w:hAnsi="宋体" w:cs="宋体"/>
                <w:color w:val="000000"/>
                <w:kern w:val="0"/>
                <w:sz w:val="22"/>
              </w:rPr>
            </w:pPr>
            <w:r>
              <w:rPr>
                <w:rFonts w:hint="eastAsia" w:ascii="宋体" w:hAnsi="宋体" w:cs="宋体"/>
                <w:color w:val="000000"/>
                <w:kern w:val="0"/>
                <w:sz w:val="22"/>
              </w:rPr>
              <w:t>设备名称</w:t>
            </w:r>
          </w:p>
        </w:tc>
        <w:tc>
          <w:tcPr>
            <w:tcW w:w="1080" w:type="dxa"/>
            <w:shd w:val="clear" w:color="auto" w:fill="auto"/>
            <w:noWrap/>
            <w:vAlign w:val="bottom"/>
          </w:tcPr>
          <w:p w14:paraId="587B8C63">
            <w:pPr>
              <w:widowControl/>
              <w:jc w:val="center"/>
              <w:rPr>
                <w:rFonts w:hint="eastAsia" w:ascii="宋体" w:hAnsi="宋体" w:cs="宋体"/>
                <w:color w:val="000000"/>
                <w:kern w:val="0"/>
                <w:sz w:val="22"/>
              </w:rPr>
            </w:pPr>
            <w:r>
              <w:rPr>
                <w:rFonts w:hint="eastAsia" w:ascii="宋体" w:hAnsi="宋体" w:cs="宋体"/>
                <w:color w:val="000000"/>
                <w:kern w:val="0"/>
                <w:sz w:val="22"/>
              </w:rPr>
              <w:t>数量</w:t>
            </w:r>
          </w:p>
        </w:tc>
        <w:tc>
          <w:tcPr>
            <w:tcW w:w="1080" w:type="dxa"/>
            <w:shd w:val="clear" w:color="auto" w:fill="auto"/>
            <w:noWrap/>
            <w:vAlign w:val="bottom"/>
          </w:tcPr>
          <w:p w14:paraId="20D6586E">
            <w:pPr>
              <w:widowControl/>
              <w:jc w:val="center"/>
              <w:rPr>
                <w:rFonts w:hint="eastAsia" w:ascii="宋体" w:hAnsi="宋体" w:cs="宋体"/>
                <w:color w:val="000000"/>
                <w:kern w:val="0"/>
                <w:sz w:val="22"/>
              </w:rPr>
            </w:pPr>
            <w:r>
              <w:rPr>
                <w:rFonts w:hint="eastAsia" w:ascii="宋体" w:hAnsi="宋体" w:cs="宋体"/>
                <w:color w:val="000000"/>
                <w:kern w:val="0"/>
                <w:sz w:val="22"/>
              </w:rPr>
              <w:t>单位</w:t>
            </w:r>
          </w:p>
        </w:tc>
      </w:tr>
      <w:tr w14:paraId="13C6A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4394" w:type="dxa"/>
            <w:gridSpan w:val="2"/>
            <w:shd w:val="clear" w:color="auto" w:fill="auto"/>
            <w:noWrap/>
            <w:vAlign w:val="bottom"/>
          </w:tcPr>
          <w:p w14:paraId="662A9D8E">
            <w:pPr>
              <w:widowControl/>
              <w:jc w:val="left"/>
              <w:rPr>
                <w:rFonts w:hint="eastAsia" w:ascii="宋体" w:hAnsi="宋体" w:cs="宋体"/>
                <w:color w:val="000000"/>
                <w:kern w:val="0"/>
                <w:sz w:val="22"/>
              </w:rPr>
            </w:pPr>
            <w:r>
              <w:rPr>
                <w:b/>
              </w:rPr>
              <w:t>八楼机房</w:t>
            </w:r>
          </w:p>
        </w:tc>
        <w:tc>
          <w:tcPr>
            <w:tcW w:w="1080" w:type="dxa"/>
            <w:shd w:val="clear" w:color="auto" w:fill="auto"/>
            <w:noWrap/>
            <w:vAlign w:val="bottom"/>
          </w:tcPr>
          <w:p w14:paraId="2E5EDBC0">
            <w:pPr>
              <w:widowControl/>
              <w:jc w:val="center"/>
              <w:rPr>
                <w:rFonts w:hint="eastAsia" w:ascii="宋体" w:hAnsi="宋体" w:cs="宋体"/>
                <w:color w:val="000000"/>
                <w:kern w:val="0"/>
                <w:sz w:val="22"/>
              </w:rPr>
            </w:pPr>
          </w:p>
        </w:tc>
        <w:tc>
          <w:tcPr>
            <w:tcW w:w="1080" w:type="dxa"/>
            <w:shd w:val="clear" w:color="auto" w:fill="auto"/>
            <w:noWrap/>
            <w:vAlign w:val="bottom"/>
          </w:tcPr>
          <w:p w14:paraId="49313DB3">
            <w:pPr>
              <w:widowControl/>
              <w:jc w:val="center"/>
              <w:rPr>
                <w:rFonts w:hint="eastAsia" w:ascii="宋体" w:hAnsi="宋体" w:cs="宋体"/>
                <w:color w:val="000000"/>
                <w:kern w:val="0"/>
                <w:sz w:val="22"/>
              </w:rPr>
            </w:pPr>
          </w:p>
        </w:tc>
      </w:tr>
      <w:tr w14:paraId="6191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5D77ED7C">
            <w:pPr>
              <w:widowControl/>
              <w:jc w:val="center"/>
              <w:rPr>
                <w:rFonts w:hint="eastAsia" w:ascii="宋体" w:hAnsi="宋体" w:cs="宋体"/>
                <w:color w:val="000000"/>
                <w:kern w:val="0"/>
                <w:sz w:val="20"/>
              </w:rPr>
            </w:pPr>
            <w:r>
              <w:rPr>
                <w:rFonts w:hint="eastAsia" w:ascii="宋体" w:hAnsi="宋体" w:cs="宋体"/>
                <w:color w:val="000000"/>
                <w:kern w:val="0"/>
                <w:sz w:val="20"/>
              </w:rPr>
              <w:t>1</w:t>
            </w:r>
          </w:p>
        </w:tc>
        <w:tc>
          <w:tcPr>
            <w:tcW w:w="3548" w:type="dxa"/>
            <w:shd w:val="clear" w:color="auto" w:fill="auto"/>
            <w:vAlign w:val="center"/>
          </w:tcPr>
          <w:p w14:paraId="408ED609">
            <w:pPr>
              <w:widowControl/>
              <w:jc w:val="center"/>
              <w:rPr>
                <w:rFonts w:hint="eastAsia" w:ascii="宋体" w:hAnsi="宋体" w:cs="宋体"/>
                <w:color w:val="000000"/>
                <w:kern w:val="0"/>
                <w:sz w:val="20"/>
              </w:rPr>
            </w:pPr>
            <w:r>
              <w:rPr>
                <w:rFonts w:hint="eastAsia" w:ascii="宋体" w:hAnsi="宋体" w:cs="宋体"/>
                <w:color w:val="000000"/>
                <w:kern w:val="0"/>
                <w:sz w:val="20"/>
              </w:rPr>
              <w:t>配电监测</w:t>
            </w:r>
          </w:p>
        </w:tc>
        <w:tc>
          <w:tcPr>
            <w:tcW w:w="1080" w:type="dxa"/>
            <w:shd w:val="clear" w:color="auto" w:fill="auto"/>
            <w:vAlign w:val="center"/>
          </w:tcPr>
          <w:p w14:paraId="25FED104">
            <w:pPr>
              <w:widowControl/>
              <w:jc w:val="center"/>
              <w:rPr>
                <w:rFonts w:hint="eastAsia" w:ascii="宋体" w:hAnsi="宋体" w:cs="宋体"/>
                <w:color w:val="000000"/>
                <w:kern w:val="0"/>
                <w:sz w:val="20"/>
              </w:rPr>
            </w:pPr>
            <w:r>
              <w:rPr>
                <w:rFonts w:hint="eastAsia" w:ascii="宋体" w:hAnsi="宋体" w:cs="宋体"/>
                <w:color w:val="000000"/>
                <w:kern w:val="0"/>
                <w:sz w:val="20"/>
              </w:rPr>
              <w:t>2</w:t>
            </w:r>
          </w:p>
        </w:tc>
        <w:tc>
          <w:tcPr>
            <w:tcW w:w="1080" w:type="dxa"/>
            <w:shd w:val="clear" w:color="auto" w:fill="auto"/>
            <w:vAlign w:val="center"/>
          </w:tcPr>
          <w:p w14:paraId="335D8C00">
            <w:pPr>
              <w:widowControl/>
              <w:jc w:val="center"/>
              <w:rPr>
                <w:rFonts w:hint="eastAsia" w:ascii="宋体" w:hAnsi="宋体" w:cs="宋体"/>
                <w:color w:val="000000"/>
                <w:kern w:val="0"/>
                <w:sz w:val="20"/>
              </w:rPr>
            </w:pPr>
            <w:r>
              <w:rPr>
                <w:rFonts w:hint="eastAsia" w:ascii="宋体" w:hAnsi="宋体" w:cs="宋体"/>
                <w:color w:val="000000"/>
                <w:kern w:val="0"/>
                <w:sz w:val="20"/>
              </w:rPr>
              <w:t>套</w:t>
            </w:r>
          </w:p>
        </w:tc>
      </w:tr>
      <w:tr w14:paraId="1151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3AC01385">
            <w:pPr>
              <w:widowControl/>
              <w:jc w:val="center"/>
              <w:rPr>
                <w:rFonts w:hint="eastAsia" w:ascii="宋体" w:hAnsi="宋体" w:cs="宋体"/>
                <w:color w:val="000000"/>
                <w:kern w:val="0"/>
                <w:sz w:val="20"/>
              </w:rPr>
            </w:pPr>
            <w:r>
              <w:rPr>
                <w:rFonts w:hint="eastAsia" w:ascii="宋体" w:hAnsi="宋体" w:cs="宋体"/>
                <w:color w:val="000000"/>
                <w:kern w:val="0"/>
                <w:sz w:val="20"/>
              </w:rPr>
              <w:t>2</w:t>
            </w:r>
          </w:p>
        </w:tc>
        <w:tc>
          <w:tcPr>
            <w:tcW w:w="3548" w:type="dxa"/>
            <w:shd w:val="clear" w:color="auto" w:fill="auto"/>
            <w:vAlign w:val="center"/>
          </w:tcPr>
          <w:p w14:paraId="7C898C52">
            <w:pPr>
              <w:widowControl/>
              <w:jc w:val="center"/>
              <w:rPr>
                <w:rFonts w:hint="eastAsia" w:ascii="宋体" w:hAnsi="宋体" w:cs="宋体"/>
                <w:color w:val="000000"/>
                <w:kern w:val="0"/>
                <w:sz w:val="20"/>
              </w:rPr>
            </w:pPr>
            <w:r>
              <w:rPr>
                <w:rFonts w:hint="eastAsia" w:ascii="宋体" w:hAnsi="宋体" w:cs="宋体"/>
                <w:color w:val="000000"/>
                <w:kern w:val="0"/>
                <w:sz w:val="20"/>
              </w:rPr>
              <w:t>温湿度传感器</w:t>
            </w:r>
          </w:p>
        </w:tc>
        <w:tc>
          <w:tcPr>
            <w:tcW w:w="1080" w:type="dxa"/>
            <w:shd w:val="clear" w:color="auto" w:fill="auto"/>
            <w:vAlign w:val="center"/>
          </w:tcPr>
          <w:p w14:paraId="0E21C825">
            <w:pPr>
              <w:widowControl/>
              <w:jc w:val="center"/>
              <w:rPr>
                <w:rFonts w:hint="eastAsia" w:ascii="宋体" w:hAnsi="宋体" w:cs="宋体"/>
                <w:color w:val="000000"/>
                <w:kern w:val="0"/>
                <w:sz w:val="20"/>
              </w:rPr>
            </w:pPr>
            <w:r>
              <w:rPr>
                <w:rFonts w:ascii="宋体" w:hAnsi="宋体" w:cs="宋体"/>
                <w:color w:val="000000"/>
                <w:kern w:val="0"/>
                <w:sz w:val="20"/>
              </w:rPr>
              <w:t>8</w:t>
            </w:r>
          </w:p>
        </w:tc>
        <w:tc>
          <w:tcPr>
            <w:tcW w:w="1080" w:type="dxa"/>
            <w:shd w:val="clear" w:color="auto" w:fill="auto"/>
            <w:vAlign w:val="center"/>
          </w:tcPr>
          <w:p w14:paraId="220C16C3">
            <w:pPr>
              <w:widowControl/>
              <w:jc w:val="center"/>
              <w:rPr>
                <w:rFonts w:hint="eastAsia" w:ascii="宋体" w:hAnsi="宋体" w:cs="宋体"/>
                <w:color w:val="000000"/>
                <w:kern w:val="0"/>
                <w:sz w:val="20"/>
              </w:rPr>
            </w:pPr>
            <w:r>
              <w:rPr>
                <w:rFonts w:hint="eastAsia" w:ascii="宋体" w:hAnsi="宋体" w:cs="宋体"/>
                <w:color w:val="000000"/>
                <w:kern w:val="0"/>
                <w:sz w:val="20"/>
              </w:rPr>
              <w:t>个</w:t>
            </w:r>
          </w:p>
        </w:tc>
      </w:tr>
      <w:tr w14:paraId="02054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1E00FAE8">
            <w:pPr>
              <w:widowControl/>
              <w:jc w:val="center"/>
              <w:rPr>
                <w:rFonts w:hint="eastAsia" w:ascii="宋体" w:hAnsi="宋体" w:cs="宋体"/>
                <w:color w:val="000000"/>
                <w:kern w:val="0"/>
                <w:sz w:val="20"/>
              </w:rPr>
            </w:pPr>
            <w:r>
              <w:rPr>
                <w:rFonts w:hint="eastAsia" w:ascii="宋体" w:hAnsi="宋体" w:cs="宋体"/>
                <w:color w:val="000000"/>
                <w:kern w:val="0"/>
                <w:sz w:val="20"/>
              </w:rPr>
              <w:t>3</w:t>
            </w:r>
          </w:p>
        </w:tc>
        <w:tc>
          <w:tcPr>
            <w:tcW w:w="3548" w:type="dxa"/>
            <w:shd w:val="clear" w:color="auto" w:fill="auto"/>
            <w:vAlign w:val="center"/>
          </w:tcPr>
          <w:p w14:paraId="69E9D2D9">
            <w:pPr>
              <w:widowControl/>
              <w:jc w:val="center"/>
              <w:rPr>
                <w:rFonts w:hint="eastAsia" w:ascii="宋体" w:hAnsi="宋体" w:cs="宋体"/>
                <w:color w:val="000000"/>
                <w:kern w:val="0"/>
                <w:sz w:val="20"/>
              </w:rPr>
            </w:pPr>
            <w:r>
              <w:rPr>
                <w:rFonts w:hint="eastAsia" w:ascii="宋体" w:hAnsi="宋体" w:cs="宋体"/>
                <w:color w:val="000000"/>
                <w:kern w:val="0"/>
                <w:sz w:val="20"/>
              </w:rPr>
              <w:t>U</w:t>
            </w:r>
            <w:r>
              <w:rPr>
                <w:rFonts w:ascii="宋体" w:hAnsi="宋体" w:cs="宋体"/>
                <w:color w:val="000000"/>
                <w:kern w:val="0"/>
                <w:sz w:val="20"/>
              </w:rPr>
              <w:t>PS监测</w:t>
            </w:r>
          </w:p>
        </w:tc>
        <w:tc>
          <w:tcPr>
            <w:tcW w:w="1080" w:type="dxa"/>
            <w:shd w:val="clear" w:color="auto" w:fill="auto"/>
            <w:vAlign w:val="center"/>
          </w:tcPr>
          <w:p w14:paraId="50D03825">
            <w:pPr>
              <w:widowControl/>
              <w:jc w:val="center"/>
              <w:rPr>
                <w:rFonts w:hint="eastAsia" w:ascii="宋体" w:hAnsi="宋体" w:cs="宋体"/>
                <w:color w:val="000000"/>
                <w:kern w:val="0"/>
                <w:sz w:val="20"/>
              </w:rPr>
            </w:pPr>
            <w:r>
              <w:rPr>
                <w:rFonts w:ascii="宋体" w:hAnsi="宋体" w:cs="宋体"/>
                <w:color w:val="000000"/>
                <w:kern w:val="0"/>
                <w:sz w:val="20"/>
              </w:rPr>
              <w:t>2</w:t>
            </w:r>
          </w:p>
        </w:tc>
        <w:tc>
          <w:tcPr>
            <w:tcW w:w="1080" w:type="dxa"/>
            <w:shd w:val="clear" w:color="auto" w:fill="auto"/>
            <w:vAlign w:val="center"/>
          </w:tcPr>
          <w:p w14:paraId="1E1CF893">
            <w:pPr>
              <w:widowControl/>
              <w:jc w:val="center"/>
              <w:rPr>
                <w:rFonts w:hint="eastAsia" w:ascii="宋体" w:hAnsi="宋体" w:cs="宋体"/>
                <w:color w:val="000000"/>
                <w:kern w:val="0"/>
                <w:sz w:val="20"/>
              </w:rPr>
            </w:pPr>
            <w:r>
              <w:rPr>
                <w:rFonts w:hint="eastAsia" w:ascii="宋体" w:hAnsi="宋体" w:cs="宋体"/>
                <w:color w:val="000000"/>
                <w:kern w:val="0"/>
                <w:sz w:val="20"/>
              </w:rPr>
              <w:t>套</w:t>
            </w:r>
          </w:p>
        </w:tc>
      </w:tr>
      <w:tr w14:paraId="656FD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657B774B">
            <w:pPr>
              <w:widowControl/>
              <w:jc w:val="center"/>
              <w:rPr>
                <w:rFonts w:hint="eastAsia" w:ascii="宋体" w:hAnsi="宋体" w:cs="宋体"/>
                <w:color w:val="000000"/>
                <w:kern w:val="0"/>
                <w:sz w:val="20"/>
              </w:rPr>
            </w:pPr>
            <w:r>
              <w:rPr>
                <w:rFonts w:hint="eastAsia" w:ascii="宋体" w:hAnsi="宋体" w:cs="宋体"/>
                <w:color w:val="000000"/>
                <w:kern w:val="0"/>
                <w:sz w:val="20"/>
              </w:rPr>
              <w:t>4</w:t>
            </w:r>
          </w:p>
        </w:tc>
        <w:tc>
          <w:tcPr>
            <w:tcW w:w="3548" w:type="dxa"/>
            <w:shd w:val="clear" w:color="auto" w:fill="auto"/>
            <w:vAlign w:val="center"/>
          </w:tcPr>
          <w:p w14:paraId="23C1D4B1">
            <w:pPr>
              <w:widowControl/>
              <w:jc w:val="center"/>
              <w:rPr>
                <w:rFonts w:hint="eastAsia" w:ascii="宋体" w:hAnsi="宋体" w:cs="宋体"/>
                <w:color w:val="000000"/>
                <w:kern w:val="0"/>
                <w:sz w:val="20"/>
              </w:rPr>
            </w:pPr>
            <w:r>
              <w:rPr>
                <w:rFonts w:hint="eastAsia" w:ascii="宋体" w:hAnsi="宋体" w:cs="宋体"/>
                <w:color w:val="000000"/>
                <w:kern w:val="0"/>
                <w:sz w:val="20"/>
              </w:rPr>
              <w:t>精密空调</w:t>
            </w:r>
          </w:p>
        </w:tc>
        <w:tc>
          <w:tcPr>
            <w:tcW w:w="1080" w:type="dxa"/>
            <w:shd w:val="clear" w:color="auto" w:fill="auto"/>
            <w:vAlign w:val="center"/>
          </w:tcPr>
          <w:p w14:paraId="028ACA88">
            <w:pPr>
              <w:widowControl/>
              <w:jc w:val="center"/>
              <w:rPr>
                <w:rFonts w:hint="eastAsia" w:ascii="宋体" w:hAnsi="宋体" w:cs="宋体"/>
                <w:color w:val="000000"/>
                <w:kern w:val="0"/>
                <w:sz w:val="20"/>
              </w:rPr>
            </w:pPr>
            <w:r>
              <w:rPr>
                <w:rFonts w:ascii="宋体" w:hAnsi="宋体" w:cs="宋体"/>
                <w:color w:val="000000"/>
                <w:kern w:val="0"/>
                <w:sz w:val="20"/>
              </w:rPr>
              <w:t>2</w:t>
            </w:r>
          </w:p>
        </w:tc>
        <w:tc>
          <w:tcPr>
            <w:tcW w:w="1080" w:type="dxa"/>
            <w:shd w:val="clear" w:color="auto" w:fill="auto"/>
            <w:vAlign w:val="center"/>
          </w:tcPr>
          <w:p w14:paraId="23C9C433">
            <w:pPr>
              <w:widowControl/>
              <w:jc w:val="center"/>
              <w:rPr>
                <w:rFonts w:hint="eastAsia" w:ascii="宋体" w:hAnsi="宋体" w:cs="宋体"/>
                <w:color w:val="000000"/>
                <w:kern w:val="0"/>
                <w:sz w:val="20"/>
              </w:rPr>
            </w:pPr>
            <w:r>
              <w:rPr>
                <w:rFonts w:hint="eastAsia" w:ascii="宋体" w:hAnsi="宋体" w:cs="宋体"/>
                <w:color w:val="000000"/>
                <w:kern w:val="0"/>
                <w:sz w:val="20"/>
              </w:rPr>
              <w:t>台</w:t>
            </w:r>
          </w:p>
        </w:tc>
      </w:tr>
      <w:tr w14:paraId="1166B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13B35452">
            <w:pPr>
              <w:widowControl/>
              <w:jc w:val="center"/>
              <w:rPr>
                <w:rFonts w:hint="eastAsia" w:ascii="宋体" w:hAnsi="宋体" w:cs="宋体"/>
                <w:color w:val="000000"/>
                <w:kern w:val="0"/>
                <w:sz w:val="20"/>
              </w:rPr>
            </w:pPr>
            <w:r>
              <w:rPr>
                <w:rFonts w:hint="eastAsia" w:ascii="宋体" w:hAnsi="宋体" w:cs="宋体"/>
                <w:color w:val="000000"/>
                <w:kern w:val="0"/>
                <w:sz w:val="20"/>
              </w:rPr>
              <w:t>5</w:t>
            </w:r>
          </w:p>
        </w:tc>
        <w:tc>
          <w:tcPr>
            <w:tcW w:w="3548" w:type="dxa"/>
            <w:shd w:val="clear" w:color="auto" w:fill="auto"/>
            <w:vAlign w:val="center"/>
          </w:tcPr>
          <w:p w14:paraId="7C0ECE82">
            <w:pPr>
              <w:widowControl/>
              <w:jc w:val="center"/>
              <w:rPr>
                <w:rFonts w:hint="eastAsia" w:ascii="宋体" w:hAnsi="宋体" w:cs="宋体"/>
                <w:color w:val="000000"/>
                <w:kern w:val="0"/>
                <w:sz w:val="20"/>
              </w:rPr>
            </w:pPr>
            <w:r>
              <w:rPr>
                <w:rFonts w:hint="eastAsia" w:ascii="宋体" w:hAnsi="宋体" w:cs="宋体"/>
                <w:color w:val="000000"/>
                <w:kern w:val="0"/>
                <w:sz w:val="20"/>
              </w:rPr>
              <w:t>漏水监测</w:t>
            </w:r>
          </w:p>
        </w:tc>
        <w:tc>
          <w:tcPr>
            <w:tcW w:w="1080" w:type="dxa"/>
            <w:shd w:val="clear" w:color="auto" w:fill="auto"/>
            <w:vAlign w:val="center"/>
          </w:tcPr>
          <w:p w14:paraId="0081F0B0">
            <w:pPr>
              <w:widowControl/>
              <w:jc w:val="center"/>
              <w:rPr>
                <w:rFonts w:hint="eastAsia" w:ascii="宋体" w:hAnsi="宋体" w:cs="宋体"/>
                <w:color w:val="000000"/>
                <w:kern w:val="0"/>
                <w:sz w:val="20"/>
              </w:rPr>
            </w:pPr>
            <w:r>
              <w:rPr>
                <w:rFonts w:ascii="宋体" w:hAnsi="宋体" w:cs="宋体"/>
                <w:color w:val="000000"/>
                <w:kern w:val="0"/>
                <w:sz w:val="20"/>
              </w:rPr>
              <w:t>2</w:t>
            </w:r>
          </w:p>
        </w:tc>
        <w:tc>
          <w:tcPr>
            <w:tcW w:w="1080" w:type="dxa"/>
            <w:shd w:val="clear" w:color="auto" w:fill="auto"/>
            <w:vAlign w:val="center"/>
          </w:tcPr>
          <w:p w14:paraId="530E111B">
            <w:pPr>
              <w:widowControl/>
              <w:jc w:val="center"/>
              <w:rPr>
                <w:rFonts w:hint="eastAsia" w:ascii="宋体" w:hAnsi="宋体" w:cs="宋体"/>
                <w:color w:val="000000"/>
                <w:kern w:val="0"/>
                <w:sz w:val="20"/>
              </w:rPr>
            </w:pPr>
            <w:r>
              <w:rPr>
                <w:rFonts w:hint="eastAsia" w:ascii="宋体" w:hAnsi="宋体" w:cs="宋体"/>
                <w:color w:val="000000"/>
                <w:kern w:val="0"/>
                <w:sz w:val="20"/>
              </w:rPr>
              <w:t>套</w:t>
            </w:r>
          </w:p>
        </w:tc>
      </w:tr>
      <w:tr w14:paraId="4E3F3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24E49005">
            <w:pPr>
              <w:widowControl/>
              <w:jc w:val="center"/>
              <w:rPr>
                <w:rFonts w:hint="eastAsia" w:ascii="宋体" w:hAnsi="宋体" w:cs="宋体"/>
                <w:color w:val="000000"/>
                <w:kern w:val="0"/>
                <w:sz w:val="20"/>
              </w:rPr>
            </w:pPr>
            <w:r>
              <w:rPr>
                <w:rFonts w:hint="eastAsia" w:ascii="宋体" w:hAnsi="宋体" w:cs="宋体"/>
                <w:color w:val="000000"/>
                <w:kern w:val="0"/>
                <w:sz w:val="20"/>
              </w:rPr>
              <w:t>6</w:t>
            </w:r>
          </w:p>
        </w:tc>
        <w:tc>
          <w:tcPr>
            <w:tcW w:w="3548" w:type="dxa"/>
            <w:shd w:val="clear" w:color="auto" w:fill="auto"/>
            <w:vAlign w:val="center"/>
          </w:tcPr>
          <w:p w14:paraId="37DEC59C">
            <w:pPr>
              <w:widowControl/>
              <w:jc w:val="center"/>
              <w:rPr>
                <w:rFonts w:hint="eastAsia" w:ascii="宋体" w:hAnsi="宋体" w:cs="宋体"/>
                <w:color w:val="000000"/>
                <w:kern w:val="0"/>
                <w:sz w:val="20"/>
              </w:rPr>
            </w:pPr>
            <w:r>
              <w:rPr>
                <w:rFonts w:hint="eastAsia" w:ascii="宋体" w:hAnsi="宋体" w:cs="宋体"/>
                <w:color w:val="000000"/>
                <w:kern w:val="0"/>
                <w:sz w:val="20"/>
              </w:rPr>
              <w:t>视频监控集成</w:t>
            </w:r>
          </w:p>
        </w:tc>
        <w:tc>
          <w:tcPr>
            <w:tcW w:w="1080" w:type="dxa"/>
            <w:shd w:val="clear" w:color="auto" w:fill="auto"/>
            <w:vAlign w:val="center"/>
          </w:tcPr>
          <w:p w14:paraId="244535EF">
            <w:pPr>
              <w:widowControl/>
              <w:jc w:val="center"/>
              <w:rPr>
                <w:rFonts w:hint="eastAsia" w:ascii="宋体" w:hAnsi="宋体" w:cs="宋体"/>
                <w:color w:val="000000"/>
                <w:kern w:val="0"/>
                <w:sz w:val="20"/>
              </w:rPr>
            </w:pPr>
            <w:r>
              <w:rPr>
                <w:rFonts w:ascii="宋体" w:hAnsi="宋体" w:cs="宋体"/>
                <w:color w:val="000000"/>
                <w:kern w:val="0"/>
                <w:sz w:val="20"/>
              </w:rPr>
              <w:t>1</w:t>
            </w:r>
          </w:p>
        </w:tc>
        <w:tc>
          <w:tcPr>
            <w:tcW w:w="1080" w:type="dxa"/>
            <w:shd w:val="clear" w:color="auto" w:fill="auto"/>
            <w:vAlign w:val="center"/>
          </w:tcPr>
          <w:p w14:paraId="01C76306">
            <w:pPr>
              <w:widowControl/>
              <w:jc w:val="center"/>
              <w:rPr>
                <w:rFonts w:hint="eastAsia" w:ascii="宋体" w:hAnsi="宋体" w:cs="宋体"/>
                <w:color w:val="000000"/>
                <w:kern w:val="0"/>
                <w:sz w:val="20"/>
              </w:rPr>
            </w:pPr>
            <w:r>
              <w:rPr>
                <w:rFonts w:hint="eastAsia" w:ascii="宋体" w:hAnsi="宋体" w:cs="宋体"/>
                <w:color w:val="000000"/>
                <w:kern w:val="0"/>
                <w:sz w:val="20"/>
              </w:rPr>
              <w:t>套</w:t>
            </w:r>
          </w:p>
        </w:tc>
      </w:tr>
      <w:tr w14:paraId="0DB2B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0F21F805">
            <w:pPr>
              <w:widowControl/>
              <w:jc w:val="center"/>
              <w:rPr>
                <w:rFonts w:hint="eastAsia" w:ascii="宋体" w:hAnsi="宋体" w:cs="宋体"/>
                <w:color w:val="000000"/>
                <w:kern w:val="0"/>
                <w:sz w:val="20"/>
              </w:rPr>
            </w:pPr>
            <w:r>
              <w:rPr>
                <w:rFonts w:hint="eastAsia" w:ascii="宋体" w:hAnsi="宋体" w:cs="宋体"/>
                <w:color w:val="000000"/>
                <w:kern w:val="0"/>
                <w:sz w:val="20"/>
              </w:rPr>
              <w:t>7</w:t>
            </w:r>
          </w:p>
        </w:tc>
        <w:tc>
          <w:tcPr>
            <w:tcW w:w="3548" w:type="dxa"/>
            <w:shd w:val="clear" w:color="auto" w:fill="auto"/>
            <w:vAlign w:val="center"/>
          </w:tcPr>
          <w:p w14:paraId="16433FD4">
            <w:pPr>
              <w:widowControl/>
              <w:jc w:val="center"/>
              <w:rPr>
                <w:rFonts w:hint="eastAsia" w:ascii="宋体" w:hAnsi="宋体" w:cs="宋体"/>
                <w:color w:val="000000"/>
                <w:kern w:val="0"/>
                <w:sz w:val="20"/>
              </w:rPr>
            </w:pPr>
            <w:r>
              <w:rPr>
                <w:rFonts w:hint="eastAsia" w:ascii="宋体" w:hAnsi="宋体" w:cs="宋体"/>
                <w:color w:val="000000"/>
                <w:kern w:val="0"/>
                <w:sz w:val="20"/>
              </w:rPr>
              <w:t>消防监测子</w:t>
            </w:r>
            <w:r>
              <w:rPr>
                <w:rFonts w:ascii="宋体" w:hAnsi="宋体" w:cs="宋体"/>
                <w:color w:val="000000"/>
                <w:kern w:val="0"/>
                <w:sz w:val="20"/>
              </w:rPr>
              <w:t>系统</w:t>
            </w:r>
          </w:p>
        </w:tc>
        <w:tc>
          <w:tcPr>
            <w:tcW w:w="1080" w:type="dxa"/>
            <w:shd w:val="clear" w:color="auto" w:fill="auto"/>
            <w:vAlign w:val="center"/>
          </w:tcPr>
          <w:p w14:paraId="50A84A0E">
            <w:pPr>
              <w:widowControl/>
              <w:jc w:val="center"/>
              <w:rPr>
                <w:rFonts w:hint="eastAsia" w:ascii="宋体" w:hAnsi="宋体" w:cs="宋体"/>
                <w:color w:val="000000"/>
                <w:kern w:val="0"/>
                <w:sz w:val="20"/>
              </w:rPr>
            </w:pPr>
            <w:r>
              <w:rPr>
                <w:rFonts w:hint="eastAsia" w:ascii="宋体" w:hAnsi="宋体" w:cs="宋体"/>
                <w:color w:val="000000"/>
                <w:kern w:val="0"/>
                <w:sz w:val="20"/>
              </w:rPr>
              <w:t>1</w:t>
            </w:r>
          </w:p>
        </w:tc>
        <w:tc>
          <w:tcPr>
            <w:tcW w:w="1080" w:type="dxa"/>
            <w:shd w:val="clear" w:color="auto" w:fill="auto"/>
            <w:vAlign w:val="center"/>
          </w:tcPr>
          <w:p w14:paraId="500572D9">
            <w:pPr>
              <w:widowControl/>
              <w:jc w:val="center"/>
              <w:rPr>
                <w:rFonts w:hint="eastAsia" w:ascii="宋体" w:hAnsi="宋体" w:cs="宋体"/>
                <w:color w:val="000000"/>
                <w:kern w:val="0"/>
                <w:sz w:val="20"/>
              </w:rPr>
            </w:pPr>
            <w:r>
              <w:rPr>
                <w:rFonts w:hint="eastAsia" w:ascii="宋体" w:hAnsi="宋体" w:cs="宋体"/>
                <w:color w:val="000000"/>
                <w:kern w:val="0"/>
                <w:sz w:val="20"/>
              </w:rPr>
              <w:t>套</w:t>
            </w:r>
          </w:p>
        </w:tc>
      </w:tr>
      <w:tr w14:paraId="78815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94" w:type="dxa"/>
            <w:gridSpan w:val="2"/>
            <w:shd w:val="clear" w:color="auto" w:fill="auto"/>
            <w:vAlign w:val="center"/>
          </w:tcPr>
          <w:p w14:paraId="5424ED3F">
            <w:pPr>
              <w:widowControl/>
              <w:jc w:val="left"/>
              <w:rPr>
                <w:rFonts w:hint="eastAsia" w:ascii="宋体" w:hAnsi="宋体" w:cs="宋体"/>
                <w:color w:val="000000"/>
                <w:kern w:val="0"/>
                <w:sz w:val="20"/>
              </w:rPr>
            </w:pPr>
            <w:r>
              <w:rPr>
                <w:rFonts w:hint="eastAsia"/>
                <w:b/>
              </w:rPr>
              <w:t>诉服机房</w:t>
            </w:r>
          </w:p>
        </w:tc>
        <w:tc>
          <w:tcPr>
            <w:tcW w:w="1080" w:type="dxa"/>
            <w:shd w:val="clear" w:color="auto" w:fill="auto"/>
            <w:vAlign w:val="center"/>
          </w:tcPr>
          <w:p w14:paraId="45FEE8DC">
            <w:pPr>
              <w:widowControl/>
              <w:jc w:val="center"/>
              <w:rPr>
                <w:rFonts w:hint="eastAsia" w:ascii="宋体" w:hAnsi="宋体" w:cs="宋体"/>
                <w:color w:val="000000"/>
                <w:kern w:val="0"/>
                <w:sz w:val="20"/>
              </w:rPr>
            </w:pPr>
          </w:p>
        </w:tc>
        <w:tc>
          <w:tcPr>
            <w:tcW w:w="1080" w:type="dxa"/>
            <w:shd w:val="clear" w:color="auto" w:fill="auto"/>
            <w:vAlign w:val="center"/>
          </w:tcPr>
          <w:p w14:paraId="1AE514D3">
            <w:pPr>
              <w:widowControl/>
              <w:jc w:val="center"/>
              <w:rPr>
                <w:rFonts w:hint="eastAsia" w:ascii="宋体" w:hAnsi="宋体" w:cs="宋体"/>
                <w:color w:val="000000"/>
                <w:kern w:val="0"/>
                <w:sz w:val="20"/>
              </w:rPr>
            </w:pPr>
          </w:p>
        </w:tc>
      </w:tr>
      <w:tr w14:paraId="31743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10D3BA44">
            <w:pPr>
              <w:widowControl/>
              <w:jc w:val="center"/>
              <w:rPr>
                <w:rFonts w:hint="eastAsia" w:ascii="宋体" w:hAnsi="宋体" w:cs="宋体"/>
                <w:color w:val="000000"/>
                <w:kern w:val="0"/>
                <w:sz w:val="20"/>
              </w:rPr>
            </w:pPr>
            <w:r>
              <w:rPr>
                <w:rFonts w:hint="eastAsia" w:ascii="宋体" w:hAnsi="宋体" w:cs="宋体"/>
                <w:color w:val="000000"/>
                <w:kern w:val="0"/>
                <w:sz w:val="20"/>
              </w:rPr>
              <w:t>1</w:t>
            </w:r>
          </w:p>
        </w:tc>
        <w:tc>
          <w:tcPr>
            <w:tcW w:w="3548" w:type="dxa"/>
            <w:shd w:val="clear" w:color="auto" w:fill="auto"/>
            <w:vAlign w:val="center"/>
          </w:tcPr>
          <w:p w14:paraId="00F204A4">
            <w:pPr>
              <w:widowControl/>
              <w:jc w:val="center"/>
              <w:rPr>
                <w:rFonts w:hint="eastAsia" w:ascii="宋体" w:hAnsi="宋体" w:cs="宋体"/>
                <w:color w:val="000000"/>
                <w:kern w:val="0"/>
                <w:sz w:val="20"/>
              </w:rPr>
            </w:pPr>
            <w:r>
              <w:rPr>
                <w:rFonts w:hint="eastAsia" w:ascii="宋体" w:hAnsi="宋体" w:cs="宋体"/>
                <w:color w:val="000000"/>
                <w:kern w:val="0"/>
                <w:sz w:val="20"/>
              </w:rPr>
              <w:t>配电监测</w:t>
            </w:r>
          </w:p>
        </w:tc>
        <w:tc>
          <w:tcPr>
            <w:tcW w:w="1080" w:type="dxa"/>
            <w:shd w:val="clear" w:color="auto" w:fill="auto"/>
            <w:vAlign w:val="center"/>
          </w:tcPr>
          <w:p w14:paraId="523C26E4">
            <w:pPr>
              <w:widowControl/>
              <w:jc w:val="center"/>
              <w:rPr>
                <w:rFonts w:hint="eastAsia" w:ascii="宋体" w:hAnsi="宋体" w:cs="宋体"/>
                <w:color w:val="000000"/>
                <w:kern w:val="0"/>
                <w:sz w:val="20"/>
              </w:rPr>
            </w:pPr>
            <w:r>
              <w:rPr>
                <w:rFonts w:ascii="宋体" w:hAnsi="宋体" w:cs="宋体"/>
                <w:color w:val="000000"/>
                <w:kern w:val="0"/>
                <w:sz w:val="20"/>
              </w:rPr>
              <w:t>2</w:t>
            </w:r>
          </w:p>
        </w:tc>
        <w:tc>
          <w:tcPr>
            <w:tcW w:w="1080" w:type="dxa"/>
            <w:shd w:val="clear" w:color="auto" w:fill="auto"/>
            <w:vAlign w:val="center"/>
          </w:tcPr>
          <w:p w14:paraId="491752D1">
            <w:pPr>
              <w:widowControl/>
              <w:jc w:val="center"/>
              <w:rPr>
                <w:rFonts w:hint="eastAsia" w:ascii="宋体" w:hAnsi="宋体" w:cs="宋体"/>
                <w:color w:val="000000"/>
                <w:kern w:val="0"/>
                <w:sz w:val="20"/>
              </w:rPr>
            </w:pPr>
            <w:r>
              <w:rPr>
                <w:rFonts w:hint="eastAsia" w:ascii="宋体" w:hAnsi="宋体" w:cs="宋体"/>
                <w:color w:val="000000"/>
                <w:kern w:val="0"/>
                <w:sz w:val="20"/>
              </w:rPr>
              <w:t>套</w:t>
            </w:r>
          </w:p>
        </w:tc>
      </w:tr>
      <w:tr w14:paraId="55348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70C556C0">
            <w:pPr>
              <w:widowControl/>
              <w:jc w:val="center"/>
              <w:rPr>
                <w:rFonts w:hint="eastAsia" w:ascii="宋体" w:hAnsi="宋体" w:cs="宋体"/>
                <w:color w:val="000000"/>
                <w:kern w:val="0"/>
                <w:sz w:val="20"/>
              </w:rPr>
            </w:pPr>
            <w:r>
              <w:rPr>
                <w:rFonts w:hint="eastAsia" w:ascii="宋体" w:hAnsi="宋体" w:cs="宋体"/>
                <w:color w:val="000000"/>
                <w:kern w:val="0"/>
                <w:sz w:val="20"/>
              </w:rPr>
              <w:t>2</w:t>
            </w:r>
          </w:p>
        </w:tc>
        <w:tc>
          <w:tcPr>
            <w:tcW w:w="3548" w:type="dxa"/>
            <w:shd w:val="clear" w:color="auto" w:fill="auto"/>
            <w:vAlign w:val="center"/>
          </w:tcPr>
          <w:p w14:paraId="3D78F374">
            <w:pPr>
              <w:widowControl/>
              <w:jc w:val="center"/>
              <w:rPr>
                <w:rFonts w:hint="eastAsia" w:ascii="宋体" w:hAnsi="宋体" w:cs="宋体"/>
                <w:color w:val="000000"/>
                <w:kern w:val="0"/>
                <w:sz w:val="20"/>
              </w:rPr>
            </w:pPr>
            <w:r>
              <w:rPr>
                <w:rFonts w:hint="eastAsia" w:ascii="宋体" w:hAnsi="宋体" w:cs="宋体"/>
                <w:color w:val="000000"/>
                <w:kern w:val="0"/>
                <w:sz w:val="20"/>
              </w:rPr>
              <w:t>温湿度传感器</w:t>
            </w:r>
          </w:p>
        </w:tc>
        <w:tc>
          <w:tcPr>
            <w:tcW w:w="1080" w:type="dxa"/>
            <w:shd w:val="clear" w:color="auto" w:fill="auto"/>
            <w:vAlign w:val="center"/>
          </w:tcPr>
          <w:p w14:paraId="50709F7A">
            <w:pPr>
              <w:widowControl/>
              <w:jc w:val="center"/>
              <w:rPr>
                <w:rFonts w:hint="eastAsia" w:ascii="宋体" w:hAnsi="宋体" w:cs="宋体"/>
                <w:color w:val="000000"/>
                <w:kern w:val="0"/>
                <w:sz w:val="20"/>
              </w:rPr>
            </w:pPr>
            <w:r>
              <w:rPr>
                <w:rFonts w:ascii="宋体" w:hAnsi="宋体" w:cs="宋体"/>
                <w:color w:val="000000"/>
                <w:kern w:val="0"/>
                <w:sz w:val="20"/>
              </w:rPr>
              <w:t>8</w:t>
            </w:r>
          </w:p>
        </w:tc>
        <w:tc>
          <w:tcPr>
            <w:tcW w:w="1080" w:type="dxa"/>
            <w:shd w:val="clear" w:color="auto" w:fill="auto"/>
            <w:vAlign w:val="center"/>
          </w:tcPr>
          <w:p w14:paraId="746C15F8">
            <w:pPr>
              <w:widowControl/>
              <w:jc w:val="center"/>
              <w:rPr>
                <w:rFonts w:hint="eastAsia" w:ascii="宋体" w:hAnsi="宋体" w:cs="宋体"/>
                <w:color w:val="000000"/>
                <w:kern w:val="0"/>
                <w:sz w:val="20"/>
              </w:rPr>
            </w:pPr>
            <w:r>
              <w:rPr>
                <w:rFonts w:hint="eastAsia" w:ascii="宋体" w:hAnsi="宋体" w:cs="宋体"/>
                <w:color w:val="000000"/>
                <w:kern w:val="0"/>
                <w:sz w:val="20"/>
              </w:rPr>
              <w:t>个</w:t>
            </w:r>
          </w:p>
        </w:tc>
      </w:tr>
      <w:tr w14:paraId="7274F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6039CEFB">
            <w:pPr>
              <w:widowControl/>
              <w:jc w:val="center"/>
              <w:rPr>
                <w:rFonts w:hint="eastAsia" w:ascii="宋体" w:hAnsi="宋体" w:cs="宋体"/>
                <w:color w:val="000000"/>
                <w:kern w:val="0"/>
                <w:sz w:val="20"/>
              </w:rPr>
            </w:pPr>
            <w:r>
              <w:rPr>
                <w:rFonts w:hint="eastAsia" w:ascii="宋体" w:hAnsi="宋体" w:cs="宋体"/>
                <w:color w:val="000000"/>
                <w:kern w:val="0"/>
                <w:sz w:val="20"/>
              </w:rPr>
              <w:t>3</w:t>
            </w:r>
          </w:p>
        </w:tc>
        <w:tc>
          <w:tcPr>
            <w:tcW w:w="3548" w:type="dxa"/>
            <w:shd w:val="clear" w:color="auto" w:fill="auto"/>
            <w:vAlign w:val="center"/>
          </w:tcPr>
          <w:p w14:paraId="3ED04F62">
            <w:pPr>
              <w:widowControl/>
              <w:jc w:val="center"/>
              <w:rPr>
                <w:rFonts w:hint="eastAsia" w:ascii="宋体" w:hAnsi="宋体" w:cs="宋体"/>
                <w:color w:val="000000"/>
                <w:kern w:val="0"/>
                <w:sz w:val="20"/>
              </w:rPr>
            </w:pPr>
            <w:r>
              <w:rPr>
                <w:rFonts w:hint="eastAsia" w:ascii="宋体" w:hAnsi="宋体" w:cs="宋体"/>
                <w:color w:val="000000"/>
                <w:kern w:val="0"/>
                <w:sz w:val="20"/>
              </w:rPr>
              <w:t>氢气浓度传感器</w:t>
            </w:r>
          </w:p>
        </w:tc>
        <w:tc>
          <w:tcPr>
            <w:tcW w:w="1080" w:type="dxa"/>
            <w:shd w:val="clear" w:color="auto" w:fill="auto"/>
            <w:vAlign w:val="center"/>
          </w:tcPr>
          <w:p w14:paraId="6EA27FE8">
            <w:pPr>
              <w:widowControl/>
              <w:jc w:val="center"/>
              <w:rPr>
                <w:rFonts w:hint="eastAsia" w:ascii="宋体" w:hAnsi="宋体" w:cs="宋体"/>
                <w:color w:val="000000"/>
                <w:kern w:val="0"/>
                <w:sz w:val="20"/>
              </w:rPr>
            </w:pPr>
            <w:r>
              <w:rPr>
                <w:rFonts w:hint="eastAsia" w:ascii="宋体" w:hAnsi="宋体" w:cs="宋体"/>
                <w:color w:val="000000"/>
                <w:kern w:val="0"/>
                <w:sz w:val="20"/>
              </w:rPr>
              <w:t>2</w:t>
            </w:r>
          </w:p>
        </w:tc>
        <w:tc>
          <w:tcPr>
            <w:tcW w:w="1080" w:type="dxa"/>
            <w:shd w:val="clear" w:color="auto" w:fill="auto"/>
            <w:vAlign w:val="center"/>
          </w:tcPr>
          <w:p w14:paraId="33D88F51">
            <w:pPr>
              <w:widowControl/>
              <w:jc w:val="center"/>
              <w:rPr>
                <w:rFonts w:hint="eastAsia" w:ascii="宋体" w:hAnsi="宋体" w:cs="宋体"/>
                <w:color w:val="000000"/>
                <w:kern w:val="0"/>
                <w:sz w:val="20"/>
              </w:rPr>
            </w:pPr>
            <w:r>
              <w:rPr>
                <w:rFonts w:hint="eastAsia" w:ascii="宋体" w:hAnsi="宋体" w:cs="宋体"/>
                <w:color w:val="000000"/>
                <w:kern w:val="0"/>
                <w:sz w:val="20"/>
              </w:rPr>
              <w:t>套</w:t>
            </w:r>
          </w:p>
        </w:tc>
      </w:tr>
      <w:tr w14:paraId="12654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3FA8017B">
            <w:pPr>
              <w:widowControl/>
              <w:jc w:val="center"/>
              <w:rPr>
                <w:rFonts w:hint="eastAsia" w:ascii="宋体" w:hAnsi="宋体" w:cs="宋体"/>
                <w:color w:val="000000"/>
                <w:kern w:val="0"/>
                <w:sz w:val="20"/>
              </w:rPr>
            </w:pPr>
            <w:r>
              <w:rPr>
                <w:rFonts w:hint="eastAsia" w:ascii="宋体" w:hAnsi="宋体" w:cs="宋体"/>
                <w:color w:val="000000"/>
                <w:kern w:val="0"/>
                <w:sz w:val="20"/>
              </w:rPr>
              <w:t>3</w:t>
            </w:r>
          </w:p>
        </w:tc>
        <w:tc>
          <w:tcPr>
            <w:tcW w:w="3548" w:type="dxa"/>
            <w:shd w:val="clear" w:color="auto" w:fill="auto"/>
            <w:vAlign w:val="center"/>
          </w:tcPr>
          <w:p w14:paraId="2726FB6A">
            <w:pPr>
              <w:widowControl/>
              <w:jc w:val="center"/>
              <w:rPr>
                <w:rFonts w:hint="eastAsia" w:ascii="宋体" w:hAnsi="宋体" w:cs="宋体"/>
                <w:color w:val="000000"/>
                <w:kern w:val="0"/>
                <w:sz w:val="20"/>
              </w:rPr>
            </w:pPr>
            <w:r>
              <w:rPr>
                <w:rFonts w:hint="eastAsia" w:ascii="宋体" w:hAnsi="宋体" w:cs="宋体"/>
                <w:color w:val="000000"/>
                <w:kern w:val="0"/>
                <w:sz w:val="20"/>
              </w:rPr>
              <w:t>U</w:t>
            </w:r>
            <w:r>
              <w:rPr>
                <w:rFonts w:ascii="宋体" w:hAnsi="宋体" w:cs="宋体"/>
                <w:color w:val="000000"/>
                <w:kern w:val="0"/>
                <w:sz w:val="20"/>
              </w:rPr>
              <w:t>PS监测</w:t>
            </w:r>
          </w:p>
        </w:tc>
        <w:tc>
          <w:tcPr>
            <w:tcW w:w="1080" w:type="dxa"/>
            <w:shd w:val="clear" w:color="auto" w:fill="auto"/>
            <w:vAlign w:val="center"/>
          </w:tcPr>
          <w:p w14:paraId="6FB28B54">
            <w:pPr>
              <w:widowControl/>
              <w:jc w:val="center"/>
              <w:rPr>
                <w:rFonts w:hint="eastAsia" w:ascii="宋体" w:hAnsi="宋体" w:cs="宋体"/>
                <w:color w:val="000000"/>
                <w:kern w:val="0"/>
                <w:sz w:val="20"/>
              </w:rPr>
            </w:pPr>
            <w:r>
              <w:rPr>
                <w:rFonts w:ascii="宋体" w:hAnsi="宋体" w:cs="宋体"/>
                <w:color w:val="000000"/>
                <w:kern w:val="0"/>
                <w:sz w:val="20"/>
              </w:rPr>
              <w:t>1</w:t>
            </w:r>
          </w:p>
        </w:tc>
        <w:tc>
          <w:tcPr>
            <w:tcW w:w="1080" w:type="dxa"/>
            <w:shd w:val="clear" w:color="auto" w:fill="auto"/>
            <w:vAlign w:val="center"/>
          </w:tcPr>
          <w:p w14:paraId="79EF782E">
            <w:pPr>
              <w:widowControl/>
              <w:jc w:val="center"/>
              <w:rPr>
                <w:rFonts w:hint="eastAsia" w:ascii="宋体" w:hAnsi="宋体" w:cs="宋体"/>
                <w:color w:val="000000"/>
                <w:kern w:val="0"/>
                <w:sz w:val="20"/>
              </w:rPr>
            </w:pPr>
            <w:r>
              <w:rPr>
                <w:rFonts w:hint="eastAsia" w:ascii="宋体" w:hAnsi="宋体" w:cs="宋体"/>
                <w:color w:val="000000"/>
                <w:kern w:val="0"/>
                <w:sz w:val="20"/>
              </w:rPr>
              <w:t>套</w:t>
            </w:r>
          </w:p>
        </w:tc>
      </w:tr>
      <w:tr w14:paraId="6470C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5EBA44FF">
            <w:pPr>
              <w:widowControl/>
              <w:jc w:val="center"/>
              <w:rPr>
                <w:rFonts w:hint="eastAsia" w:ascii="宋体" w:hAnsi="宋体" w:cs="宋体"/>
                <w:color w:val="000000"/>
                <w:kern w:val="0"/>
                <w:sz w:val="20"/>
              </w:rPr>
            </w:pPr>
            <w:r>
              <w:rPr>
                <w:rFonts w:hint="eastAsia" w:ascii="宋体" w:hAnsi="宋体" w:cs="宋体"/>
                <w:color w:val="000000"/>
                <w:kern w:val="0"/>
                <w:sz w:val="20"/>
              </w:rPr>
              <w:t>4</w:t>
            </w:r>
          </w:p>
        </w:tc>
        <w:tc>
          <w:tcPr>
            <w:tcW w:w="3548" w:type="dxa"/>
            <w:shd w:val="clear" w:color="auto" w:fill="auto"/>
            <w:vAlign w:val="center"/>
          </w:tcPr>
          <w:p w14:paraId="7E2CB50D">
            <w:pPr>
              <w:widowControl/>
              <w:jc w:val="center"/>
              <w:rPr>
                <w:rFonts w:hint="eastAsia" w:ascii="宋体" w:hAnsi="宋体" w:cs="宋体"/>
                <w:color w:val="000000"/>
                <w:kern w:val="0"/>
                <w:sz w:val="20"/>
              </w:rPr>
            </w:pPr>
            <w:r>
              <w:rPr>
                <w:rFonts w:hint="eastAsia" w:ascii="宋体" w:hAnsi="宋体" w:cs="宋体"/>
                <w:color w:val="000000"/>
                <w:kern w:val="0"/>
                <w:sz w:val="20"/>
              </w:rPr>
              <w:t>精密空调</w:t>
            </w:r>
          </w:p>
        </w:tc>
        <w:tc>
          <w:tcPr>
            <w:tcW w:w="1080" w:type="dxa"/>
            <w:shd w:val="clear" w:color="auto" w:fill="auto"/>
            <w:vAlign w:val="center"/>
          </w:tcPr>
          <w:p w14:paraId="79D0288D">
            <w:pPr>
              <w:widowControl/>
              <w:jc w:val="center"/>
              <w:rPr>
                <w:rFonts w:hint="eastAsia" w:ascii="宋体" w:hAnsi="宋体" w:cs="宋体"/>
                <w:color w:val="000000"/>
                <w:kern w:val="0"/>
                <w:sz w:val="20"/>
              </w:rPr>
            </w:pPr>
            <w:r>
              <w:rPr>
                <w:rFonts w:ascii="宋体" w:hAnsi="宋体" w:cs="宋体"/>
                <w:color w:val="000000"/>
                <w:kern w:val="0"/>
                <w:sz w:val="20"/>
              </w:rPr>
              <w:t>3</w:t>
            </w:r>
          </w:p>
        </w:tc>
        <w:tc>
          <w:tcPr>
            <w:tcW w:w="1080" w:type="dxa"/>
            <w:shd w:val="clear" w:color="auto" w:fill="auto"/>
            <w:vAlign w:val="center"/>
          </w:tcPr>
          <w:p w14:paraId="1C4F4F53">
            <w:pPr>
              <w:widowControl/>
              <w:jc w:val="center"/>
              <w:rPr>
                <w:rFonts w:hint="eastAsia" w:ascii="宋体" w:hAnsi="宋体" w:cs="宋体"/>
                <w:color w:val="000000"/>
                <w:kern w:val="0"/>
                <w:sz w:val="20"/>
              </w:rPr>
            </w:pPr>
            <w:r>
              <w:rPr>
                <w:rFonts w:hint="eastAsia" w:ascii="宋体" w:hAnsi="宋体" w:cs="宋体"/>
                <w:color w:val="000000"/>
                <w:kern w:val="0"/>
                <w:sz w:val="20"/>
              </w:rPr>
              <w:t>套</w:t>
            </w:r>
          </w:p>
        </w:tc>
      </w:tr>
      <w:tr w14:paraId="26471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172E2F3F">
            <w:pPr>
              <w:widowControl/>
              <w:jc w:val="center"/>
              <w:rPr>
                <w:rFonts w:hint="eastAsia" w:ascii="宋体" w:hAnsi="宋体" w:cs="宋体"/>
                <w:color w:val="000000"/>
                <w:kern w:val="0"/>
                <w:sz w:val="20"/>
              </w:rPr>
            </w:pPr>
            <w:r>
              <w:rPr>
                <w:rFonts w:hint="eastAsia" w:ascii="宋体" w:hAnsi="宋体" w:cs="宋体"/>
                <w:color w:val="000000"/>
                <w:kern w:val="0"/>
                <w:sz w:val="20"/>
              </w:rPr>
              <w:t>5</w:t>
            </w:r>
          </w:p>
        </w:tc>
        <w:tc>
          <w:tcPr>
            <w:tcW w:w="3548" w:type="dxa"/>
            <w:shd w:val="clear" w:color="auto" w:fill="auto"/>
            <w:vAlign w:val="center"/>
          </w:tcPr>
          <w:p w14:paraId="03CD9C11">
            <w:pPr>
              <w:widowControl/>
              <w:jc w:val="center"/>
              <w:rPr>
                <w:rFonts w:hint="eastAsia" w:ascii="宋体" w:hAnsi="宋体" w:cs="宋体"/>
                <w:color w:val="000000"/>
                <w:kern w:val="0"/>
                <w:sz w:val="20"/>
              </w:rPr>
            </w:pPr>
            <w:r>
              <w:rPr>
                <w:rFonts w:hint="eastAsia" w:ascii="宋体" w:hAnsi="宋体" w:cs="宋体"/>
                <w:color w:val="000000"/>
                <w:kern w:val="0"/>
                <w:sz w:val="20"/>
              </w:rPr>
              <w:t>漏水监测</w:t>
            </w:r>
          </w:p>
        </w:tc>
        <w:tc>
          <w:tcPr>
            <w:tcW w:w="1080" w:type="dxa"/>
            <w:shd w:val="clear" w:color="auto" w:fill="auto"/>
            <w:vAlign w:val="center"/>
          </w:tcPr>
          <w:p w14:paraId="6934D65F">
            <w:pPr>
              <w:widowControl/>
              <w:jc w:val="center"/>
              <w:rPr>
                <w:rFonts w:hint="eastAsia" w:ascii="宋体" w:hAnsi="宋体" w:cs="宋体"/>
                <w:color w:val="000000"/>
                <w:kern w:val="0"/>
                <w:sz w:val="20"/>
              </w:rPr>
            </w:pPr>
            <w:r>
              <w:rPr>
                <w:rFonts w:ascii="宋体" w:hAnsi="宋体" w:cs="宋体"/>
                <w:color w:val="000000"/>
                <w:kern w:val="0"/>
                <w:sz w:val="20"/>
              </w:rPr>
              <w:t>4</w:t>
            </w:r>
          </w:p>
        </w:tc>
        <w:tc>
          <w:tcPr>
            <w:tcW w:w="1080" w:type="dxa"/>
            <w:shd w:val="clear" w:color="auto" w:fill="auto"/>
            <w:vAlign w:val="center"/>
          </w:tcPr>
          <w:p w14:paraId="0E4E5A80">
            <w:pPr>
              <w:widowControl/>
              <w:jc w:val="center"/>
              <w:rPr>
                <w:rFonts w:hint="eastAsia" w:ascii="宋体" w:hAnsi="宋体" w:cs="宋体"/>
                <w:color w:val="000000"/>
                <w:kern w:val="0"/>
                <w:sz w:val="20"/>
              </w:rPr>
            </w:pPr>
            <w:r>
              <w:rPr>
                <w:rFonts w:hint="eastAsia" w:ascii="宋体" w:hAnsi="宋体" w:cs="宋体"/>
                <w:color w:val="000000"/>
                <w:kern w:val="0"/>
                <w:sz w:val="20"/>
              </w:rPr>
              <w:t>套</w:t>
            </w:r>
          </w:p>
        </w:tc>
      </w:tr>
      <w:tr w14:paraId="1BFE7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04691615">
            <w:pPr>
              <w:widowControl/>
              <w:jc w:val="center"/>
              <w:rPr>
                <w:rFonts w:hint="eastAsia" w:ascii="宋体" w:hAnsi="宋体" w:cs="宋体"/>
                <w:color w:val="000000"/>
                <w:kern w:val="0"/>
                <w:sz w:val="20"/>
              </w:rPr>
            </w:pPr>
            <w:r>
              <w:rPr>
                <w:rFonts w:hint="eastAsia" w:ascii="宋体" w:hAnsi="宋体" w:cs="宋体"/>
                <w:color w:val="000000"/>
                <w:kern w:val="0"/>
                <w:sz w:val="20"/>
              </w:rPr>
              <w:t>6</w:t>
            </w:r>
          </w:p>
        </w:tc>
        <w:tc>
          <w:tcPr>
            <w:tcW w:w="3548" w:type="dxa"/>
            <w:shd w:val="clear" w:color="auto" w:fill="auto"/>
            <w:vAlign w:val="center"/>
          </w:tcPr>
          <w:p w14:paraId="07DB2200">
            <w:pPr>
              <w:widowControl/>
              <w:jc w:val="center"/>
              <w:rPr>
                <w:rFonts w:hint="eastAsia" w:ascii="宋体" w:hAnsi="宋体" w:cs="宋体"/>
                <w:color w:val="000000"/>
                <w:kern w:val="0"/>
                <w:sz w:val="20"/>
              </w:rPr>
            </w:pPr>
            <w:r>
              <w:rPr>
                <w:rFonts w:hint="eastAsia" w:ascii="宋体" w:hAnsi="宋体" w:cs="宋体"/>
                <w:color w:val="000000"/>
                <w:kern w:val="0"/>
                <w:sz w:val="20"/>
              </w:rPr>
              <w:t>短信报警</w:t>
            </w:r>
          </w:p>
        </w:tc>
        <w:tc>
          <w:tcPr>
            <w:tcW w:w="1080" w:type="dxa"/>
            <w:shd w:val="clear" w:color="auto" w:fill="auto"/>
            <w:vAlign w:val="center"/>
          </w:tcPr>
          <w:p w14:paraId="5DA12B62">
            <w:pPr>
              <w:widowControl/>
              <w:jc w:val="center"/>
              <w:rPr>
                <w:rFonts w:hint="eastAsia" w:ascii="宋体" w:hAnsi="宋体" w:cs="宋体"/>
                <w:color w:val="000000"/>
                <w:kern w:val="0"/>
                <w:sz w:val="20"/>
              </w:rPr>
            </w:pPr>
            <w:r>
              <w:rPr>
                <w:rFonts w:ascii="宋体" w:hAnsi="宋体" w:cs="宋体"/>
                <w:color w:val="000000"/>
                <w:kern w:val="0"/>
                <w:sz w:val="20"/>
              </w:rPr>
              <w:t>1</w:t>
            </w:r>
          </w:p>
        </w:tc>
        <w:tc>
          <w:tcPr>
            <w:tcW w:w="1080" w:type="dxa"/>
            <w:shd w:val="clear" w:color="auto" w:fill="auto"/>
            <w:vAlign w:val="center"/>
          </w:tcPr>
          <w:p w14:paraId="1A275F64">
            <w:pPr>
              <w:widowControl/>
              <w:jc w:val="center"/>
              <w:rPr>
                <w:rFonts w:hint="eastAsia" w:ascii="宋体" w:hAnsi="宋体" w:cs="宋体"/>
                <w:color w:val="000000"/>
                <w:kern w:val="0"/>
                <w:sz w:val="20"/>
              </w:rPr>
            </w:pPr>
            <w:r>
              <w:rPr>
                <w:rFonts w:hint="eastAsia" w:ascii="宋体" w:hAnsi="宋体" w:cs="宋体"/>
                <w:color w:val="000000"/>
                <w:kern w:val="0"/>
                <w:sz w:val="20"/>
              </w:rPr>
              <w:t>套</w:t>
            </w:r>
          </w:p>
        </w:tc>
      </w:tr>
      <w:tr w14:paraId="5790B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1EFCED52">
            <w:pPr>
              <w:widowControl/>
              <w:jc w:val="center"/>
              <w:rPr>
                <w:rFonts w:hint="eastAsia" w:ascii="宋体" w:hAnsi="宋体" w:cs="宋体"/>
                <w:color w:val="000000"/>
                <w:kern w:val="0"/>
                <w:sz w:val="20"/>
              </w:rPr>
            </w:pPr>
            <w:r>
              <w:rPr>
                <w:rFonts w:hint="eastAsia" w:ascii="宋体" w:hAnsi="宋体" w:cs="宋体"/>
                <w:color w:val="000000"/>
                <w:kern w:val="0"/>
                <w:sz w:val="20"/>
              </w:rPr>
              <w:t>7</w:t>
            </w:r>
          </w:p>
        </w:tc>
        <w:tc>
          <w:tcPr>
            <w:tcW w:w="3548" w:type="dxa"/>
            <w:shd w:val="clear" w:color="auto" w:fill="auto"/>
            <w:vAlign w:val="center"/>
          </w:tcPr>
          <w:p w14:paraId="731E0FC2">
            <w:pPr>
              <w:widowControl/>
              <w:jc w:val="center"/>
              <w:rPr>
                <w:rFonts w:hint="eastAsia" w:ascii="宋体" w:hAnsi="宋体" w:cs="宋体"/>
                <w:color w:val="000000"/>
                <w:kern w:val="0"/>
                <w:sz w:val="20"/>
              </w:rPr>
            </w:pPr>
            <w:r>
              <w:rPr>
                <w:rFonts w:hint="eastAsia" w:ascii="宋体" w:hAnsi="宋体" w:cs="宋体"/>
                <w:color w:val="000000"/>
                <w:kern w:val="0"/>
                <w:sz w:val="20"/>
              </w:rPr>
              <w:t>巨元动环集中监控系统</w:t>
            </w:r>
          </w:p>
        </w:tc>
        <w:tc>
          <w:tcPr>
            <w:tcW w:w="1080" w:type="dxa"/>
            <w:shd w:val="clear" w:color="auto" w:fill="auto"/>
            <w:vAlign w:val="center"/>
          </w:tcPr>
          <w:p w14:paraId="1BACAF5C">
            <w:pPr>
              <w:widowControl/>
              <w:jc w:val="center"/>
              <w:rPr>
                <w:rFonts w:hint="eastAsia" w:ascii="宋体" w:hAnsi="宋体" w:cs="宋体"/>
                <w:color w:val="000000"/>
                <w:kern w:val="0"/>
                <w:sz w:val="20"/>
              </w:rPr>
            </w:pPr>
            <w:r>
              <w:rPr>
                <w:rFonts w:hint="eastAsia" w:ascii="宋体" w:hAnsi="宋体" w:cs="宋体"/>
                <w:color w:val="000000"/>
                <w:kern w:val="0"/>
                <w:sz w:val="20"/>
              </w:rPr>
              <w:t>1</w:t>
            </w:r>
          </w:p>
        </w:tc>
        <w:tc>
          <w:tcPr>
            <w:tcW w:w="1080" w:type="dxa"/>
            <w:shd w:val="clear" w:color="auto" w:fill="auto"/>
            <w:vAlign w:val="center"/>
          </w:tcPr>
          <w:p w14:paraId="684EA3D3">
            <w:pPr>
              <w:widowControl/>
              <w:jc w:val="center"/>
              <w:rPr>
                <w:rFonts w:hint="eastAsia" w:ascii="宋体" w:hAnsi="宋体" w:cs="宋体"/>
                <w:color w:val="000000"/>
                <w:kern w:val="0"/>
                <w:sz w:val="20"/>
              </w:rPr>
            </w:pPr>
            <w:r>
              <w:rPr>
                <w:rFonts w:hint="eastAsia" w:ascii="宋体" w:hAnsi="宋体" w:cs="宋体"/>
                <w:color w:val="000000"/>
                <w:kern w:val="0"/>
                <w:sz w:val="20"/>
              </w:rPr>
              <w:t>套</w:t>
            </w:r>
          </w:p>
        </w:tc>
      </w:tr>
      <w:tr w14:paraId="622A6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46" w:type="dxa"/>
            <w:shd w:val="clear" w:color="auto" w:fill="auto"/>
            <w:vAlign w:val="center"/>
          </w:tcPr>
          <w:p w14:paraId="47006D73">
            <w:pPr>
              <w:widowControl/>
              <w:jc w:val="center"/>
              <w:rPr>
                <w:rFonts w:hint="eastAsia" w:ascii="宋体" w:hAnsi="宋体" w:cs="宋体"/>
                <w:color w:val="000000"/>
                <w:kern w:val="0"/>
                <w:sz w:val="20"/>
              </w:rPr>
            </w:pPr>
          </w:p>
        </w:tc>
        <w:tc>
          <w:tcPr>
            <w:tcW w:w="3548" w:type="dxa"/>
            <w:shd w:val="clear" w:color="auto" w:fill="auto"/>
            <w:vAlign w:val="center"/>
          </w:tcPr>
          <w:p w14:paraId="37EF8B9D">
            <w:pPr>
              <w:widowControl/>
              <w:jc w:val="center"/>
              <w:rPr>
                <w:rFonts w:hint="eastAsia" w:ascii="宋体" w:hAnsi="宋体" w:cs="宋体"/>
                <w:color w:val="000000"/>
                <w:kern w:val="0"/>
                <w:sz w:val="20"/>
              </w:rPr>
            </w:pPr>
          </w:p>
        </w:tc>
        <w:tc>
          <w:tcPr>
            <w:tcW w:w="1080" w:type="dxa"/>
            <w:shd w:val="clear" w:color="auto" w:fill="auto"/>
            <w:vAlign w:val="center"/>
          </w:tcPr>
          <w:p w14:paraId="4F9B0784">
            <w:pPr>
              <w:widowControl/>
              <w:jc w:val="center"/>
              <w:rPr>
                <w:rFonts w:hint="eastAsia" w:ascii="宋体" w:hAnsi="宋体" w:cs="宋体"/>
                <w:color w:val="000000"/>
                <w:kern w:val="0"/>
                <w:sz w:val="20"/>
              </w:rPr>
            </w:pPr>
          </w:p>
        </w:tc>
        <w:tc>
          <w:tcPr>
            <w:tcW w:w="1080" w:type="dxa"/>
            <w:shd w:val="clear" w:color="auto" w:fill="auto"/>
            <w:vAlign w:val="center"/>
          </w:tcPr>
          <w:p w14:paraId="47923C90">
            <w:pPr>
              <w:widowControl/>
              <w:jc w:val="center"/>
              <w:rPr>
                <w:rFonts w:hint="eastAsia" w:ascii="宋体" w:hAnsi="宋体" w:cs="宋体"/>
                <w:color w:val="000000"/>
                <w:kern w:val="0"/>
                <w:sz w:val="20"/>
              </w:rPr>
            </w:pPr>
          </w:p>
        </w:tc>
      </w:tr>
    </w:tbl>
    <w:p w14:paraId="29617260">
      <w:pPr>
        <w:rPr>
          <w:rFonts w:hint="eastAsia"/>
          <w:lang w:val="en-US" w:eastAsia="zh-CN"/>
        </w:rPr>
      </w:pPr>
    </w:p>
    <w:p w14:paraId="62F5E0CB">
      <w:pPr>
        <w:rPr>
          <w:rFonts w:hint="eastAsia"/>
          <w:lang w:val="en-US" w:eastAsia="zh-CN"/>
        </w:rPr>
      </w:pPr>
    </w:p>
    <w:p w14:paraId="56B78F25">
      <w:pPr>
        <w:rPr>
          <w:rFonts w:hint="eastAsia"/>
          <w:lang w:val="en-US" w:eastAsia="zh-CN"/>
        </w:rPr>
      </w:pPr>
    </w:p>
    <w:p w14:paraId="47BBA07B">
      <w:pPr>
        <w:rPr>
          <w:rFonts w:hint="eastAsia"/>
          <w:lang w:val="en-US" w:eastAsia="zh-CN"/>
        </w:rPr>
      </w:pPr>
    </w:p>
    <w:p w14:paraId="79B97E8F">
      <w:pPr>
        <w:rPr>
          <w:rFonts w:hint="eastAsia"/>
          <w:lang w:val="en-US" w:eastAsia="zh-CN"/>
        </w:rPr>
      </w:pPr>
    </w:p>
    <w:p w14:paraId="5A5C1037">
      <w:pPr>
        <w:rPr>
          <w:rFonts w:hint="eastAsia"/>
          <w:lang w:val="en-US" w:eastAsia="zh-CN"/>
        </w:rPr>
      </w:pPr>
    </w:p>
    <w:p w14:paraId="0D05FB69">
      <w:pPr>
        <w:rPr>
          <w:rFonts w:hint="eastAsia"/>
          <w:lang w:val="en-US" w:eastAsia="zh-CN"/>
        </w:rPr>
      </w:pPr>
    </w:p>
    <w:p w14:paraId="158620D7">
      <w:pPr>
        <w:rPr>
          <w:rFonts w:hint="eastAsia"/>
          <w:lang w:val="en-US" w:eastAsia="zh-CN"/>
        </w:rPr>
      </w:pPr>
    </w:p>
    <w:p w14:paraId="7B3498F7">
      <w:pPr>
        <w:rPr>
          <w:rFonts w:hint="eastAsia"/>
          <w:lang w:val="en-US" w:eastAsia="zh-CN"/>
        </w:rPr>
      </w:pPr>
    </w:p>
    <w:p w14:paraId="1C85FC3E">
      <w:pPr>
        <w:rPr>
          <w:rFonts w:hint="eastAsia"/>
          <w:lang w:val="en-US" w:eastAsia="zh-CN"/>
        </w:rPr>
      </w:pPr>
    </w:p>
    <w:p w14:paraId="34175721">
      <w:pPr>
        <w:rPr>
          <w:rFonts w:hint="eastAsia"/>
          <w:lang w:val="en-US" w:eastAsia="zh-CN"/>
        </w:rPr>
      </w:pPr>
    </w:p>
    <w:p w14:paraId="24C711EA">
      <w:pPr>
        <w:rPr>
          <w:rFonts w:hint="eastAsia"/>
          <w:lang w:val="en-US" w:eastAsia="zh-CN"/>
        </w:rPr>
      </w:pPr>
    </w:p>
    <w:p w14:paraId="1688ECB6">
      <w:pPr>
        <w:rPr>
          <w:rFonts w:hint="eastAsia"/>
          <w:lang w:val="en-US" w:eastAsia="zh-CN"/>
        </w:rPr>
      </w:pPr>
    </w:p>
    <w:p w14:paraId="03E95E65">
      <w:pPr>
        <w:rPr>
          <w:rFonts w:hint="eastAsia"/>
          <w:lang w:val="en-US" w:eastAsia="zh-CN"/>
        </w:rPr>
      </w:pPr>
    </w:p>
    <w:p w14:paraId="0A98CE44">
      <w:pPr>
        <w:rPr>
          <w:rFonts w:hint="eastAsia"/>
          <w:lang w:val="en-US" w:eastAsia="zh-CN"/>
        </w:rPr>
      </w:pPr>
    </w:p>
    <w:p w14:paraId="0F1738BE">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1)提供每2个月1次动力环境集中监控系统进行定期的系统检查，以保证设备正常工作。</w:t>
      </w:r>
    </w:p>
    <w:p w14:paraId="08E896A3">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2)服务包含巡检、维修及故障器件的更换、维修直至恢复使用。</w:t>
      </w:r>
    </w:p>
    <w:p w14:paraId="5DE794E0">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3)每次巡检服务及维修服务之后将出具书面的报告，报告清楚地说明服务内容建议，便于用户掌握设备的准确情况。</w:t>
      </w:r>
    </w:p>
    <w:p w14:paraId="18472EEB">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4)树立以“安全第一、预防为主”的指导思想，积极落实安全生产得各项制度，确保安全无事故。</w:t>
      </w:r>
    </w:p>
    <w:p w14:paraId="7DDFA32B">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5)维护保养内容包括：</w:t>
      </w:r>
    </w:p>
    <w:p w14:paraId="07839280">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硬件检查：</w:t>
      </w:r>
    </w:p>
    <w:p w14:paraId="5D97DEF0">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A)测试每一个采集模块的运行状态和故障排除</w:t>
      </w:r>
    </w:p>
    <w:p w14:paraId="26507DFF">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B)检查动环布线的线路情况</w:t>
      </w:r>
    </w:p>
    <w:p w14:paraId="53AFA433">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C)检测动力环境集中监控系统主机的物理情况及风扇、主板灰尘的清理</w:t>
      </w:r>
    </w:p>
    <w:p w14:paraId="143B29BF">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软件部分维保内容：</w:t>
      </w:r>
    </w:p>
    <w:p w14:paraId="3CBD4979">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A)对监控主机进行杀毒、漏洞补丁修复</w:t>
      </w:r>
    </w:p>
    <w:p w14:paraId="44B86C91">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B)对监控系统进行全面的测试和检查</w:t>
      </w:r>
    </w:p>
    <w:p w14:paraId="7229C6B2">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C)对监控数据进行备份</w:t>
      </w:r>
    </w:p>
    <w:p w14:paraId="47B89A91">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D)对数据库进行整理和备份</w:t>
      </w:r>
    </w:p>
    <w:p w14:paraId="0AEE4341">
      <w:pPr>
        <w:pStyle w:val="61"/>
        <w:ind w:firstLine="477" w:firstLineChars="191"/>
        <w:rPr>
          <w:rFonts w:hint="eastAsia" w:ascii="仿宋" w:hAnsi="仿宋" w:eastAsia="仿宋" w:cs="仿宋"/>
          <w:color w:val="auto"/>
          <w:spacing w:val="5"/>
          <w:szCs w:val="24"/>
        </w:rPr>
      </w:pPr>
      <w:r>
        <w:rPr>
          <w:rFonts w:hint="eastAsia" w:ascii="仿宋" w:hAnsi="仿宋" w:eastAsia="仿宋" w:cs="仿宋"/>
          <w:color w:val="auto"/>
          <w:spacing w:val="5"/>
          <w:szCs w:val="24"/>
        </w:rPr>
        <w:t>E)对报警记录进行统计</w:t>
      </w:r>
    </w:p>
    <w:bookmarkEnd w:id="13"/>
    <w:bookmarkEnd w:id="14"/>
    <w:p w14:paraId="392D7937">
      <w:pPr>
        <w:adjustRightInd w:val="0"/>
        <w:spacing w:line="440" w:lineRule="exact"/>
        <w:jc w:val="left"/>
        <w:textAlignment w:val="baseline"/>
        <w:rPr>
          <w:rFonts w:hint="eastAsia" w:ascii="仿宋" w:hAnsi="仿宋" w:eastAsia="仿宋" w:cs="仿宋"/>
          <w:color w:val="000000"/>
        </w:rPr>
      </w:pPr>
    </w:p>
    <w:p w14:paraId="6983D987">
      <w:pPr>
        <w:pStyle w:val="3"/>
        <w:rPr>
          <w:rFonts w:hint="eastAsia" w:ascii="仿宋" w:hAnsi="仿宋" w:eastAsia="仿宋" w:cs="仿宋"/>
          <w:lang w:val="en-US" w:eastAsia="zh-CN"/>
        </w:rPr>
      </w:pPr>
      <w:r>
        <w:rPr>
          <w:rFonts w:hint="eastAsia" w:ascii="仿宋" w:hAnsi="仿宋" w:eastAsia="仿宋" w:cs="仿宋"/>
          <w:lang w:val="en-US" w:eastAsia="zh-CN"/>
        </w:rPr>
        <w:t>二线后台服务技术团队要求</w:t>
      </w:r>
    </w:p>
    <w:p w14:paraId="023CF187">
      <w:pPr>
        <w:pStyle w:val="5"/>
        <w:rPr>
          <w:rFonts w:hint="eastAsia" w:ascii="仿宋" w:hAnsi="仿宋" w:eastAsia="仿宋" w:cs="仿宋"/>
        </w:rPr>
      </w:pPr>
      <w:r>
        <w:rPr>
          <w:rFonts w:hint="eastAsia" w:ascii="仿宋" w:hAnsi="仿宋" w:eastAsia="仿宋" w:cs="仿宋"/>
        </w:rPr>
        <w:t>能力要求</w:t>
      </w:r>
    </w:p>
    <w:p w14:paraId="770A8794">
      <w:pPr>
        <w:ind w:firstLine="480" w:firstLineChars="200"/>
        <w:rPr>
          <w:rFonts w:hint="eastAsia" w:ascii="仿宋" w:hAnsi="仿宋" w:eastAsia="仿宋" w:cs="仿宋"/>
          <w:szCs w:val="24"/>
        </w:rPr>
      </w:pPr>
      <w:r>
        <w:rPr>
          <w:rFonts w:hint="eastAsia" w:ascii="仿宋" w:hAnsi="仿宋" w:eastAsia="仿宋" w:cs="仿宋"/>
          <w:szCs w:val="24"/>
        </w:rPr>
        <w:t>供应商需为本项目组建专业运维团队，项目经理 1 名（未经允许不得变更）并配备专业的二线专家团队，其团队人员熟悉负载均衡系统、Linux 操作系统、SAN 存储系统、VMware vSphere 虚拟化系统、对象存储系统、Oracle及Sybase数据库等，并具备相关实施及维护经验，负责设备巡检、故障响应及应急情况处理，确保障业务安全、稳定的运行。</w:t>
      </w:r>
    </w:p>
    <w:p w14:paraId="6A003A2B">
      <w:pPr>
        <w:ind w:firstLine="360"/>
        <w:rPr>
          <w:rFonts w:hint="eastAsia" w:ascii="仿宋" w:hAnsi="仿宋" w:eastAsia="仿宋" w:cs="仿宋"/>
          <w:color w:val="FF0000"/>
          <w:szCs w:val="24"/>
        </w:rPr>
      </w:pPr>
      <w:r>
        <w:rPr>
          <w:rFonts w:hint="eastAsia" w:ascii="仿宋" w:hAnsi="仿宋" w:eastAsia="仿宋" w:cs="仿宋"/>
          <w:szCs w:val="24"/>
        </w:rPr>
        <w:t>维护团队提供巡检保障服务，内容包括机房环境检查、硬件设备检查、虚拟化平台检查、数据库平台检查，网络检查等并提供相应的巡检报告。</w:t>
      </w:r>
    </w:p>
    <w:p w14:paraId="25C468B4">
      <w:pPr>
        <w:pStyle w:val="5"/>
        <w:rPr>
          <w:rFonts w:hint="eastAsia" w:ascii="仿宋" w:hAnsi="仿宋" w:eastAsia="仿宋" w:cs="仿宋"/>
        </w:rPr>
      </w:pPr>
      <w:r>
        <w:rPr>
          <w:rFonts w:hint="eastAsia" w:ascii="仿宋" w:hAnsi="仿宋" w:eastAsia="仿宋" w:cs="仿宋"/>
        </w:rPr>
        <w:t>工作要求</w:t>
      </w:r>
    </w:p>
    <w:p w14:paraId="7AF17623">
      <w:pPr>
        <w:tabs>
          <w:tab w:val="left" w:pos="523"/>
        </w:tabs>
        <w:autoSpaceDE w:val="0"/>
        <w:autoSpaceDN w:val="0"/>
        <w:spacing w:before="31" w:line="350" w:lineRule="auto"/>
        <w:ind w:right="220"/>
        <w:jc w:val="left"/>
        <w:rPr>
          <w:rFonts w:hint="eastAsia" w:ascii="仿宋" w:hAnsi="仿宋" w:eastAsia="仿宋" w:cs="仿宋"/>
          <w:spacing w:val="5"/>
          <w:szCs w:val="24"/>
        </w:rPr>
      </w:pPr>
      <w:r>
        <w:rPr>
          <w:rFonts w:hint="eastAsia" w:ascii="仿宋" w:hAnsi="仿宋" w:eastAsia="仿宋" w:cs="仿宋"/>
          <w:spacing w:val="5"/>
          <w:szCs w:val="24"/>
        </w:rPr>
        <w:tab/>
      </w:r>
      <w:r>
        <w:rPr>
          <w:rFonts w:hint="eastAsia" w:ascii="仿宋" w:hAnsi="仿宋" w:eastAsia="仿宋" w:cs="仿宋"/>
          <w:spacing w:val="5"/>
          <w:szCs w:val="24"/>
        </w:rPr>
        <w:t>供应商运维人员在进行更换备件、软件升级等操作时，必须重点考虑数据的安全性、完整性。供应商必须进行可行性分析、数据备份等相关措施，以保证数据安全；</w:t>
      </w:r>
    </w:p>
    <w:p w14:paraId="1C4E1820">
      <w:pPr>
        <w:pStyle w:val="61"/>
        <w:numPr>
          <w:ilvl w:val="0"/>
          <w:numId w:val="0"/>
        </w:numPr>
        <w:tabs>
          <w:tab w:val="left" w:pos="1020"/>
        </w:tabs>
        <w:autoSpaceDE w:val="0"/>
        <w:autoSpaceDN w:val="0"/>
        <w:spacing w:before="31" w:line="350" w:lineRule="auto"/>
        <w:ind w:left="426" w:leftChars="0" w:right="220" w:rightChars="0"/>
        <w:jc w:val="left"/>
        <w:rPr>
          <w:rFonts w:hint="eastAsia" w:ascii="仿宋" w:hAnsi="仿宋" w:eastAsia="仿宋" w:cs="仿宋"/>
          <w:spacing w:val="5"/>
          <w:szCs w:val="24"/>
        </w:rPr>
      </w:pPr>
      <w:r>
        <w:rPr>
          <w:rFonts w:hint="eastAsia" w:ascii="仿宋" w:hAnsi="仿宋" w:eastAsia="仿宋" w:cs="仿宋"/>
          <w:color w:val="auto"/>
          <w:spacing w:val="5"/>
          <w:szCs w:val="24"/>
        </w:rPr>
        <w:t>1)</w:t>
      </w:r>
      <w:r>
        <w:rPr>
          <w:rFonts w:hint="eastAsia" w:ascii="仿宋" w:hAnsi="仿宋" w:eastAsia="仿宋" w:cs="仿宋"/>
          <w:spacing w:val="5"/>
          <w:szCs w:val="24"/>
        </w:rPr>
        <w:t>进行充分沟通，清晰了解各类要求；建立内部管理制度，加强内部管理，认真做好各项工作；</w:t>
      </w:r>
    </w:p>
    <w:p w14:paraId="7B003D64">
      <w:pPr>
        <w:pStyle w:val="61"/>
        <w:numPr>
          <w:ilvl w:val="0"/>
          <w:numId w:val="0"/>
        </w:numPr>
        <w:tabs>
          <w:tab w:val="left" w:pos="1020"/>
        </w:tabs>
        <w:autoSpaceDE w:val="0"/>
        <w:autoSpaceDN w:val="0"/>
        <w:spacing w:before="31" w:line="350" w:lineRule="auto"/>
        <w:ind w:left="426" w:leftChars="0" w:right="220" w:rightChars="0"/>
        <w:jc w:val="left"/>
        <w:rPr>
          <w:rFonts w:hint="eastAsia" w:ascii="仿宋" w:hAnsi="仿宋" w:eastAsia="仿宋" w:cs="仿宋"/>
          <w:spacing w:val="5"/>
          <w:szCs w:val="24"/>
        </w:rPr>
      </w:pPr>
      <w:r>
        <w:rPr>
          <w:rFonts w:hint="eastAsia" w:ascii="仿宋" w:hAnsi="仿宋" w:eastAsia="仿宋" w:cs="仿宋"/>
          <w:color w:val="auto"/>
          <w:spacing w:val="5"/>
          <w:szCs w:val="24"/>
        </w:rPr>
        <w:t>2)</w:t>
      </w:r>
      <w:r>
        <w:rPr>
          <w:rFonts w:hint="eastAsia" w:ascii="仿宋" w:hAnsi="仿宋" w:eastAsia="仿宋" w:cs="仿宋"/>
          <w:spacing w:val="5"/>
          <w:szCs w:val="24"/>
        </w:rPr>
        <w:t>按照要求提交各类方案、报告等文档，文档在提交前须经项目负责人审阅，关键文档需加盖公章；</w:t>
      </w:r>
    </w:p>
    <w:p w14:paraId="53402741">
      <w:pPr>
        <w:pStyle w:val="61"/>
        <w:numPr>
          <w:ilvl w:val="0"/>
          <w:numId w:val="0"/>
        </w:numPr>
        <w:tabs>
          <w:tab w:val="left" w:pos="1020"/>
        </w:tabs>
        <w:autoSpaceDE w:val="0"/>
        <w:autoSpaceDN w:val="0"/>
        <w:spacing w:before="31" w:line="350" w:lineRule="auto"/>
        <w:ind w:left="426" w:leftChars="0" w:right="220" w:rightChars="0"/>
        <w:jc w:val="left"/>
        <w:rPr>
          <w:rFonts w:hint="eastAsia" w:ascii="仿宋" w:hAnsi="仿宋" w:eastAsia="仿宋" w:cs="仿宋"/>
          <w:spacing w:val="5"/>
          <w:szCs w:val="24"/>
        </w:rPr>
      </w:pPr>
      <w:r>
        <w:rPr>
          <w:rFonts w:hint="eastAsia" w:ascii="仿宋" w:hAnsi="仿宋" w:eastAsia="仿宋" w:cs="仿宋"/>
          <w:color w:val="auto"/>
          <w:spacing w:val="5"/>
          <w:szCs w:val="24"/>
          <w:lang w:val="en-US" w:eastAsia="zh-CN"/>
        </w:rPr>
        <w:t>3</w:t>
      </w:r>
      <w:r>
        <w:rPr>
          <w:rFonts w:hint="eastAsia" w:ascii="仿宋" w:hAnsi="仿宋" w:eastAsia="仿宋" w:cs="仿宋"/>
          <w:color w:val="auto"/>
          <w:spacing w:val="5"/>
          <w:szCs w:val="24"/>
        </w:rPr>
        <w:t>)</w:t>
      </w:r>
      <w:r>
        <w:rPr>
          <w:rFonts w:hint="eastAsia" w:ascii="仿宋" w:hAnsi="仿宋" w:eastAsia="仿宋" w:cs="仿宋"/>
          <w:spacing w:val="5"/>
          <w:szCs w:val="24"/>
        </w:rPr>
        <w:t>注意经验积累，记录工作日志，及时总结归纳运维经验，放到共享文档服务器上；</w:t>
      </w:r>
    </w:p>
    <w:p w14:paraId="5F2EC140">
      <w:pPr>
        <w:pStyle w:val="61"/>
        <w:numPr>
          <w:ilvl w:val="0"/>
          <w:numId w:val="0"/>
        </w:numPr>
        <w:tabs>
          <w:tab w:val="left" w:pos="1020"/>
        </w:tabs>
        <w:autoSpaceDE w:val="0"/>
        <w:autoSpaceDN w:val="0"/>
        <w:spacing w:before="31" w:line="350" w:lineRule="auto"/>
        <w:ind w:left="426" w:leftChars="0" w:right="220" w:rightChars="0"/>
        <w:jc w:val="left"/>
        <w:rPr>
          <w:rFonts w:hint="eastAsia" w:ascii="仿宋" w:hAnsi="仿宋" w:eastAsia="仿宋" w:cs="仿宋"/>
          <w:spacing w:val="5"/>
          <w:szCs w:val="24"/>
        </w:rPr>
      </w:pPr>
      <w:r>
        <w:rPr>
          <w:rFonts w:hint="eastAsia" w:ascii="仿宋" w:hAnsi="仿宋" w:eastAsia="仿宋" w:cs="仿宋"/>
          <w:color w:val="auto"/>
          <w:spacing w:val="5"/>
          <w:szCs w:val="24"/>
          <w:lang w:val="en-US" w:eastAsia="zh-CN"/>
        </w:rPr>
        <w:t>4</w:t>
      </w:r>
      <w:r>
        <w:rPr>
          <w:rFonts w:hint="eastAsia" w:ascii="仿宋" w:hAnsi="仿宋" w:eastAsia="仿宋" w:cs="仿宋"/>
          <w:color w:val="auto"/>
          <w:spacing w:val="5"/>
          <w:szCs w:val="24"/>
        </w:rPr>
        <w:t>)</w:t>
      </w:r>
      <w:r>
        <w:rPr>
          <w:rFonts w:hint="eastAsia" w:ascii="仿宋" w:hAnsi="仿宋" w:eastAsia="仿宋" w:cs="仿宋"/>
          <w:spacing w:val="5"/>
          <w:szCs w:val="24"/>
        </w:rPr>
        <w:t>注意信息的保密，不得在任何场合向第三方之透露院方内部信息。维护人员应与院方签署保密协议；</w:t>
      </w:r>
    </w:p>
    <w:p w14:paraId="64617473">
      <w:pPr>
        <w:pStyle w:val="3"/>
        <w:tabs>
          <w:tab w:val="left" w:pos="1020"/>
        </w:tabs>
        <w:autoSpaceDE w:val="0"/>
        <w:autoSpaceDN w:val="0"/>
        <w:spacing w:before="31" w:line="350" w:lineRule="auto"/>
        <w:ind w:right="220"/>
        <w:jc w:val="left"/>
        <w:rPr>
          <w:rFonts w:hint="eastAsia"/>
        </w:rPr>
      </w:pPr>
      <w:r>
        <w:rPr>
          <w:rFonts w:hint="eastAsia" w:ascii="仿宋" w:hAnsi="仿宋" w:eastAsia="仿宋" w:cs="仿宋"/>
          <w:spacing w:val="5"/>
          <w:szCs w:val="24"/>
          <w:lang w:eastAsia="zh-CN"/>
        </w:rPr>
        <w:t>服务要求</w:t>
      </w:r>
    </w:p>
    <w:p w14:paraId="1DAE7728">
      <w:pPr>
        <w:numPr>
          <w:ilvl w:val="0"/>
          <w:numId w:val="0"/>
        </w:numPr>
        <w:adjustRightInd w:val="0"/>
        <w:spacing w:line="440" w:lineRule="exact"/>
        <w:ind w:firstLine="500" w:firstLineChars="200"/>
        <w:jc w:val="left"/>
        <w:textAlignment w:val="baseline"/>
        <w:rPr>
          <w:rFonts w:hint="eastAsia" w:ascii="仿宋" w:hAnsi="仿宋" w:eastAsia="仿宋" w:cs="仿宋"/>
          <w:color w:val="000000"/>
        </w:rPr>
      </w:pPr>
      <w:r>
        <w:rPr>
          <w:rFonts w:hint="eastAsia" w:ascii="仿宋" w:hAnsi="仿宋" w:eastAsia="仿宋" w:cs="仿宋"/>
          <w:color w:val="auto"/>
          <w:spacing w:val="5"/>
          <w:szCs w:val="24"/>
        </w:rPr>
        <w:t>1)</w:t>
      </w:r>
      <w:r>
        <w:rPr>
          <w:rFonts w:hint="eastAsia" w:ascii="仿宋" w:hAnsi="仿宋" w:eastAsia="仿宋" w:cs="仿宋"/>
          <w:spacing w:val="5"/>
          <w:kern w:val="2"/>
          <w:sz w:val="24"/>
          <w:szCs w:val="24"/>
          <w:lang w:val="en-US" w:eastAsia="zh-CN" w:bidi="ar-SA"/>
        </w:rPr>
        <w:t>乙方违反法院网络安全管理规定，导致产生违规外联或信息泄露等网络安全事故的，乙方应承担违规责任，甲方有权采取相应处罚措施，并在支付款项时扣减合同总价的5%。</w:t>
      </w:r>
      <w:r>
        <w:rPr>
          <w:rFonts w:hint="eastAsia" w:ascii="仿宋" w:hAnsi="仿宋" w:eastAsia="仿宋" w:cs="仿宋"/>
          <w:color w:val="000000"/>
          <w:lang w:val="en-US" w:eastAsia="zh-CN"/>
        </w:rPr>
        <w:br w:type="textWrapping"/>
      </w:r>
      <w:r>
        <w:rPr>
          <w:rFonts w:hint="eastAsia" w:ascii="仿宋" w:hAnsi="仿宋" w:eastAsia="仿宋" w:cs="仿宋"/>
          <w:color w:val="000000"/>
          <w:lang w:val="en-US" w:eastAsia="zh-CN"/>
        </w:rPr>
        <w:t xml:space="preserve">   </w:t>
      </w:r>
      <w:r>
        <w:rPr>
          <w:rFonts w:hint="eastAsia" w:ascii="仿宋" w:hAnsi="仿宋" w:eastAsia="仿宋" w:cs="仿宋"/>
          <w:b/>
          <w:bCs/>
          <w:color w:val="000000"/>
          <w:lang w:val="en-US" w:eastAsia="zh-CN"/>
        </w:rPr>
        <w:t xml:space="preserve"> 2</w:t>
      </w:r>
      <w:r>
        <w:rPr>
          <w:rFonts w:hint="eastAsia" w:ascii="仿宋" w:hAnsi="仿宋" w:eastAsia="仿宋" w:cs="仿宋"/>
          <w:color w:val="auto"/>
          <w:spacing w:val="5"/>
          <w:szCs w:val="24"/>
        </w:rPr>
        <w:t>)</w:t>
      </w:r>
      <w:r>
        <w:rPr>
          <w:rFonts w:hint="eastAsia" w:ascii="仿宋" w:hAnsi="仿宋" w:eastAsia="仿宋" w:cs="仿宋"/>
          <w:color w:val="000000"/>
          <w:lang w:val="en-US" w:eastAsia="zh-CN"/>
        </w:rPr>
        <w:t>乙方应遵守法院网络安全管理规定，加强对运维人员使用网络设备的监管，禁止将专网运维计算机连接互联网及其他非法院网络。</w:t>
      </w:r>
      <w:r>
        <w:rPr>
          <w:rFonts w:hint="eastAsia" w:ascii="仿宋" w:hAnsi="仿宋" w:eastAsia="仿宋" w:cs="仿宋"/>
          <w:color w:val="000000"/>
          <w:lang w:val="en-US" w:eastAsia="zh-CN"/>
        </w:rPr>
        <w:br w:type="textWrapping"/>
      </w:r>
      <w:r>
        <w:rPr>
          <w:rFonts w:hint="eastAsia" w:ascii="仿宋" w:hAnsi="仿宋" w:eastAsia="仿宋" w:cs="仿宋"/>
          <w:color w:val="000000"/>
          <w:lang w:val="en-US" w:eastAsia="zh-CN"/>
        </w:rPr>
        <w:t xml:space="preserve">    3</w:t>
      </w:r>
      <w:r>
        <w:rPr>
          <w:rFonts w:hint="eastAsia" w:ascii="仿宋" w:hAnsi="仿宋" w:eastAsia="仿宋" w:cs="仿宋"/>
          <w:color w:val="auto"/>
          <w:spacing w:val="5"/>
          <w:szCs w:val="24"/>
        </w:rPr>
        <w:t>)</w:t>
      </w:r>
      <w:r>
        <w:rPr>
          <w:rFonts w:hint="eastAsia" w:ascii="仿宋" w:hAnsi="仿宋" w:eastAsia="仿宋" w:cs="仿宋"/>
          <w:color w:val="000000"/>
          <w:lang w:val="en-US" w:eastAsia="zh-CN"/>
        </w:rPr>
        <w:t>乙方应当根据上级法院“一张网”的工作部署要求，及时对相关应用系统进行调整，保证甲方工作的顺利开展。</w:t>
      </w:r>
    </w:p>
    <w:p w14:paraId="66E0B863">
      <w:pPr>
        <w:pStyle w:val="3"/>
        <w:rPr>
          <w:rFonts w:hint="eastAsia" w:ascii="仿宋" w:hAnsi="仿宋" w:eastAsia="仿宋" w:cs="仿宋"/>
          <w:spacing w:val="5"/>
          <w:szCs w:val="24"/>
        </w:rPr>
      </w:pPr>
      <w:r>
        <w:rPr>
          <w:rFonts w:hint="eastAsia" w:ascii="仿宋" w:hAnsi="仿宋" w:eastAsia="仿宋" w:cs="仿宋"/>
          <w:spacing w:val="5"/>
          <w:szCs w:val="24"/>
        </w:rPr>
        <w:t>服务期限</w:t>
      </w:r>
    </w:p>
    <w:p w14:paraId="1852E1BB">
      <w:pPr>
        <w:rPr>
          <w:rFonts w:hint="eastAsia" w:ascii="仿宋" w:hAnsi="仿宋" w:eastAsia="仿宋" w:cs="仿宋"/>
          <w:lang w:val="en-US" w:eastAsia="zh"/>
          <w:woUserID w:val="1"/>
        </w:rPr>
      </w:pPr>
      <w:r>
        <w:rPr>
          <w:rFonts w:hint="eastAsia" w:ascii="仿宋" w:hAnsi="仿宋" w:eastAsia="仿宋" w:cs="仿宋"/>
        </w:rPr>
        <w:t>服务期：</w:t>
      </w:r>
      <w:r>
        <w:rPr>
          <w:rFonts w:hint="eastAsia" w:ascii="仿宋" w:hAnsi="仿宋" w:eastAsia="仿宋" w:cs="仿宋"/>
          <w:lang w:eastAsia="zh"/>
          <w:woUserID w:val="1"/>
        </w:rPr>
        <w:t>2026年1月1日至2026年12月31日</w:t>
      </w:r>
      <w:bookmarkStart w:id="15" w:name="_GoBack"/>
      <w:bookmarkEnd w:id="15"/>
    </w:p>
    <w:p w14:paraId="44142D62">
      <w:pPr>
        <w:tabs>
          <w:tab w:val="left" w:pos="1020"/>
        </w:tabs>
        <w:autoSpaceDE w:val="0"/>
        <w:autoSpaceDN w:val="0"/>
        <w:spacing w:before="31" w:line="350" w:lineRule="auto"/>
        <w:ind w:right="220"/>
        <w:jc w:val="left"/>
        <w:rPr>
          <w:rFonts w:hint="eastAsia" w:ascii="仿宋" w:hAnsi="仿宋" w:eastAsia="仿宋" w:cs="仿宋"/>
          <w:spacing w:val="5"/>
          <w:szCs w:val="24"/>
        </w:rPr>
      </w:pPr>
    </w:p>
    <w:p w14:paraId="76FD0490">
      <w:pPr>
        <w:pStyle w:val="4"/>
        <w:numPr>
          <w:ilvl w:val="2"/>
          <w:numId w:val="0"/>
        </w:numPr>
        <w:ind w:leftChars="0"/>
        <w:rPr>
          <w:rFonts w:hint="eastAsia"/>
        </w:rPr>
      </w:pPr>
    </w:p>
    <w:sectPr>
      <w:footerReference r:id="rId6" w:type="first"/>
      <w:footerReference r:id="rId5" w:type="default"/>
      <w:pgSz w:w="11850" w:h="16790"/>
      <w:pgMar w:top="1440" w:right="1800" w:bottom="1440" w:left="1800" w:header="605" w:footer="980" w:gutter="0"/>
      <w:pgNumType w:start="1"/>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Calibri Light">
    <w:altName w:val="Times New Roman"/>
    <w:panose1 w:val="020F0302020204030204"/>
    <w:charset w:val="00"/>
    <w:family w:val="swiss"/>
    <w:pitch w:val="default"/>
    <w:sig w:usb0="00000000" w:usb1="00000000" w:usb2="00000009" w:usb3="00000000" w:csb0="200001FF" w:csb1="00000000"/>
  </w:font>
  <w:font w:name="Cambria">
    <w:altName w:val="Georgia"/>
    <w:panose1 w:val="02040503050406030204"/>
    <w:charset w:val="00"/>
    <w:family w:val="roman"/>
    <w:pitch w:val="default"/>
    <w:sig w:usb0="00000000" w:usb1="00000000" w:usb2="02000000" w:usb3="00000000" w:csb0="2000019F" w:csb1="00000000"/>
  </w:font>
  <w:font w:name="Georgia">
    <w:panose1 w:val="02040502050405020303"/>
    <w:charset w:val="00"/>
    <w:family w:val="auto"/>
    <w:pitch w:val="default"/>
    <w:sig w:usb0="00000287" w:usb1="00000000" w:usb2="00000000" w:usb3="00000000" w:csb0="2000009F" w:csb1="00000000"/>
  </w:font>
  <w:font w:name="Denshan CSEG">
    <w:altName w:val="MiSans Thin"/>
    <w:panose1 w:val="00000000000000000000"/>
    <w:charset w:val="86"/>
    <w:family w:val="roman"/>
    <w:pitch w:val="default"/>
    <w:sig w:usb0="00000000" w:usb1="00000000" w:usb2="00000010" w:usb3="00000000" w:csb0="00040000" w:csb1="00000000"/>
  </w:font>
  <w:font w:name="MiSans Thin">
    <w:panose1 w:val="00000200000000000000"/>
    <w:charset w:val="86"/>
    <w:family w:val="auto"/>
    <w:pitch w:val="default"/>
    <w:sig w:usb0="80000287" w:usb1="080F1811" w:usb2="00000016" w:usb3="00000000" w:csb0="00040001" w:csb1="00000000"/>
  </w:font>
  <w:font w:name="Verdana">
    <w:panose1 w:val="020B0604030504040204"/>
    <w:charset w:val="00"/>
    <w:family w:val="swiss"/>
    <w:pitch w:val="default"/>
    <w:sig w:usb0="A10006FF" w:usb1="4000205B" w:usb2="00000010" w:usb3="00000000" w:csb0="2000019F" w:csb1="00000000"/>
  </w:font>
  <w:font w:name="仿宋_GB2312">
    <w:altName w:val="Times New Roman"/>
    <w:panose1 w:val="02010609030101010101"/>
    <w:charset w:val="86"/>
    <w:family w:val="modern"/>
    <w:pitch w:val="default"/>
    <w:sig w:usb0="00000000" w:usb1="00000000" w:usb2="00000000" w:usb3="00000000" w:csb0="00040000" w:csb1="00000000"/>
  </w:font>
  <w:font w:name="方正仿宋_GBK">
    <w:altName w:val="Times New Roman"/>
    <w:panose1 w:val="00000000000000000000"/>
    <w:charset w:val="00"/>
    <w:family w:val="auto"/>
    <w:pitch w:val="default"/>
    <w:sig w:usb0="00000000" w:usb1="00000000" w:usb2="00000000" w:usb3="00000000" w:csb0="00000000" w:csb1="00000000"/>
  </w:font>
  <w:font w:name="Consolas">
    <w:altName w:val="Noto Sans Mono"/>
    <w:panose1 w:val="020B0609020204030204"/>
    <w:charset w:val="00"/>
    <w:family w:val="modern"/>
    <w:pitch w:val="default"/>
    <w:sig w:usb0="00000000" w:usb1="00000000" w:usb2="00000001" w:usb3="00000000" w:csb0="6000019F" w:csb1="DFD70000"/>
  </w:font>
  <w:font w:name="Noto Sans Mono">
    <w:panose1 w:val="020B0509040504020204"/>
    <w:charset w:val="00"/>
    <w:family w:val="auto"/>
    <w:pitch w:val="default"/>
    <w:sig w:usb0="E00002FF" w:usb1="400038DF" w:usb2="08000029" w:usb3="00100000" w:csb0="00000000" w:csb1="00000000"/>
  </w:font>
  <w:font w:name="方正中等线简体">
    <w:altName w:val="MiSans Thin"/>
    <w:panose1 w:val="00000000000000000000"/>
    <w:charset w:val="86"/>
    <w:family w:val="auto"/>
    <w:pitch w:val="default"/>
    <w:sig w:usb0="00000000" w:usb1="00000000" w:usb2="00000010" w:usb3="00000000" w:csb0="00040000" w:csb1="00000000"/>
  </w:font>
  <w:font w:name="仿宋">
    <w:altName w:val="Times New Roman"/>
    <w:panose1 w:val="02010609060101010101"/>
    <w:charset w:val="86"/>
    <w:family w:val="auto"/>
    <w:pitch w:val="default"/>
    <w:sig w:usb0="00000000" w:usb1="00000000"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7A938">
    <w:pPr>
      <w:pStyle w:val="2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B84CE4">
                          <w:pPr>
                            <w:pStyle w:val="2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5B84CE4">
                    <w:pPr>
                      <w:pStyle w:val="2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A8BD7">
    <w:pPr>
      <w:pStyle w:val="34"/>
      <w:wordWrap w:val="0"/>
      <w:spacing w:line="276" w:lineRule="auto"/>
      <w:ind w:left="0"/>
      <w:jc w:val="right"/>
      <w:rPr>
        <w:rFonts w:hint="eastAsia" w:ascii="宋体" w:hAnsi="宋体"/>
      </w:rPr>
    </w:pPr>
    <w:r>
      <w:rPr>
        <w:rFonts w:hint="eastAsia" w:ascii="宋体" w:hAnsi="宋体"/>
      </w:rPr>
      <w:t xml:space="preserve">                                              </w:t>
    </w: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17</w:t>
    </w:r>
    <w:r>
      <w:rPr>
        <w:rFonts w:ascii="宋体" w:hAnsi="宋体"/>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2"/>
      <w:lvlText w:val=""/>
      <w:lvlJc w:val="left"/>
      <w:pPr>
        <w:tabs>
          <w:tab w:val="left" w:pos="1620"/>
        </w:tabs>
        <w:ind w:left="1620" w:leftChars="600" w:hanging="360" w:hangingChars="200"/>
      </w:pPr>
      <w:rPr>
        <w:rFonts w:hint="default" w:ascii="Wingdings" w:hAnsi="Wingdings"/>
      </w:rPr>
    </w:lvl>
  </w:abstractNum>
  <w:abstractNum w:abstractNumId="1">
    <w:nsid w:val="1B9557DD"/>
    <w:multiLevelType w:val="multilevel"/>
    <w:tmpl w:val="1B9557DD"/>
    <w:lvl w:ilvl="0" w:tentative="0">
      <w:start w:val="1"/>
      <w:numFmt w:val="bullet"/>
      <w:lvlText w:val=""/>
      <w:lvlJc w:val="left"/>
      <w:pPr>
        <w:ind w:left="920" w:hanging="420"/>
      </w:pPr>
      <w:rPr>
        <w:rFonts w:hint="default" w:ascii="Wingdings" w:hAnsi="Wingdings"/>
        <w:sz w:val="16"/>
        <w:szCs w:val="16"/>
      </w:rPr>
    </w:lvl>
    <w:lvl w:ilvl="1" w:tentative="0">
      <w:start w:val="1"/>
      <w:numFmt w:val="bullet"/>
      <w:lvlText w:val=""/>
      <w:lvlJc w:val="left"/>
      <w:pPr>
        <w:ind w:left="1340" w:hanging="420"/>
      </w:pPr>
      <w:rPr>
        <w:rFonts w:hint="default" w:ascii="Wingdings" w:hAnsi="Wingdings"/>
      </w:rPr>
    </w:lvl>
    <w:lvl w:ilvl="2" w:tentative="0">
      <w:start w:val="1"/>
      <w:numFmt w:val="bullet"/>
      <w:lvlText w:val=""/>
      <w:lvlJc w:val="left"/>
      <w:pPr>
        <w:ind w:left="1760" w:hanging="420"/>
      </w:pPr>
      <w:rPr>
        <w:rFonts w:hint="default" w:ascii="Wingdings" w:hAnsi="Wingdings"/>
      </w:rPr>
    </w:lvl>
    <w:lvl w:ilvl="3" w:tentative="0">
      <w:start w:val="1"/>
      <w:numFmt w:val="bullet"/>
      <w:lvlText w:val=""/>
      <w:lvlJc w:val="left"/>
      <w:pPr>
        <w:ind w:left="2180" w:hanging="420"/>
      </w:pPr>
      <w:rPr>
        <w:rFonts w:hint="default" w:ascii="Wingdings" w:hAnsi="Wingdings"/>
      </w:rPr>
    </w:lvl>
    <w:lvl w:ilvl="4" w:tentative="0">
      <w:start w:val="1"/>
      <w:numFmt w:val="bullet"/>
      <w:lvlText w:val=""/>
      <w:lvlJc w:val="left"/>
      <w:pPr>
        <w:ind w:left="2600" w:hanging="420"/>
      </w:pPr>
      <w:rPr>
        <w:rFonts w:hint="default" w:ascii="Wingdings" w:hAnsi="Wingdings"/>
      </w:rPr>
    </w:lvl>
    <w:lvl w:ilvl="5" w:tentative="0">
      <w:start w:val="1"/>
      <w:numFmt w:val="bullet"/>
      <w:lvlText w:val=""/>
      <w:lvlJc w:val="left"/>
      <w:pPr>
        <w:ind w:left="3020" w:hanging="420"/>
      </w:pPr>
      <w:rPr>
        <w:rFonts w:hint="default" w:ascii="Wingdings" w:hAnsi="Wingdings"/>
      </w:rPr>
    </w:lvl>
    <w:lvl w:ilvl="6" w:tentative="0">
      <w:start w:val="1"/>
      <w:numFmt w:val="bullet"/>
      <w:lvlText w:val=""/>
      <w:lvlJc w:val="left"/>
      <w:pPr>
        <w:ind w:left="3440" w:hanging="420"/>
      </w:pPr>
      <w:rPr>
        <w:rFonts w:hint="default" w:ascii="Wingdings" w:hAnsi="Wingdings"/>
      </w:rPr>
    </w:lvl>
    <w:lvl w:ilvl="7" w:tentative="0">
      <w:start w:val="1"/>
      <w:numFmt w:val="bullet"/>
      <w:lvlText w:val=""/>
      <w:lvlJc w:val="left"/>
      <w:pPr>
        <w:ind w:left="3860" w:hanging="420"/>
      </w:pPr>
      <w:rPr>
        <w:rFonts w:hint="default" w:ascii="Wingdings" w:hAnsi="Wingdings"/>
      </w:rPr>
    </w:lvl>
    <w:lvl w:ilvl="8" w:tentative="0">
      <w:start w:val="1"/>
      <w:numFmt w:val="bullet"/>
      <w:lvlText w:val=""/>
      <w:lvlJc w:val="left"/>
      <w:pPr>
        <w:ind w:left="4280" w:hanging="420"/>
      </w:pPr>
      <w:rPr>
        <w:rFonts w:hint="default" w:ascii="Wingdings" w:hAnsi="Wingdings"/>
      </w:rPr>
    </w:lvl>
  </w:abstractNum>
  <w:abstractNum w:abstractNumId="2">
    <w:nsid w:val="271039FE"/>
    <w:multiLevelType w:val="multilevel"/>
    <w:tmpl w:val="271039FE"/>
    <w:lvl w:ilvl="0" w:tentative="0">
      <w:start w:val="1"/>
      <w:numFmt w:val="decimal"/>
      <w:lvlText w:val="%1)"/>
      <w:lvlJc w:val="left"/>
      <w:pPr>
        <w:ind w:left="675" w:hanging="360"/>
      </w:pPr>
      <w:rPr>
        <w:rFonts w:hint="default"/>
      </w:r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3">
    <w:nsid w:val="446C1439"/>
    <w:multiLevelType w:val="multilevel"/>
    <w:tmpl w:val="446C1439"/>
    <w:lvl w:ilvl="0" w:tentative="0">
      <w:start w:val="1"/>
      <w:numFmt w:val="decimal"/>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5A1B6AE8"/>
    <w:multiLevelType w:val="singleLevel"/>
    <w:tmpl w:val="5A1B6AE8"/>
    <w:lvl w:ilvl="0" w:tentative="0">
      <w:start w:val="1"/>
      <w:numFmt w:val="decimal"/>
      <w:lvlText w:val="(%1)"/>
      <w:lvlJc w:val="left"/>
      <w:pPr>
        <w:ind w:left="425" w:hanging="425"/>
      </w:pPr>
      <w:rPr>
        <w:rFonts w:hint="default"/>
      </w:rPr>
    </w:lvl>
  </w:abstractNum>
  <w:abstractNum w:abstractNumId="5">
    <w:nsid w:val="5B1F7960"/>
    <w:multiLevelType w:val="multilevel"/>
    <w:tmpl w:val="5B1F7960"/>
    <w:lvl w:ilvl="0" w:tentative="0">
      <w:start w:val="1"/>
      <w:numFmt w:val="bullet"/>
      <w:lvlText w:val=""/>
      <w:lvlJc w:val="left"/>
      <w:pPr>
        <w:ind w:left="420" w:hanging="420"/>
      </w:pPr>
      <w:rPr>
        <w:rFonts w:hint="default" w:ascii="Wingdings" w:hAnsi="Wingding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15F430D"/>
    <w:multiLevelType w:val="multilevel"/>
    <w:tmpl w:val="615F430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6E615F2A"/>
    <w:multiLevelType w:val="multilevel"/>
    <w:tmpl w:val="6E615F2A"/>
    <w:lvl w:ilvl="0" w:tentative="0">
      <w:start w:val="3"/>
      <w:numFmt w:val="chineseCountingThousand"/>
      <w:pStyle w:val="7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7CF1151"/>
    <w:multiLevelType w:val="multilevel"/>
    <w:tmpl w:val="77CF1151"/>
    <w:lvl w:ilvl="0" w:tentative="0">
      <w:start w:val="1"/>
      <w:numFmt w:val="decimal"/>
      <w:pStyle w:val="2"/>
      <w:lvlText w:val="%1."/>
      <w:lvlJc w:val="left"/>
      <w:pPr>
        <w:ind w:left="425" w:hanging="425"/>
      </w:pPr>
      <w:rPr>
        <w:rFonts w:hint="eastAsia" w:ascii="宋体" w:eastAsia="宋体"/>
        <w:b/>
        <w:i w:val="0"/>
        <w:sz w:val="32"/>
      </w:rPr>
    </w:lvl>
    <w:lvl w:ilvl="1" w:tentative="0">
      <w:start w:val="1"/>
      <w:numFmt w:val="decimal"/>
      <w:pStyle w:val="3"/>
      <w:lvlText w:val="%1.%2."/>
      <w:lvlJc w:val="left"/>
      <w:pPr>
        <w:ind w:left="567" w:hanging="567"/>
      </w:pPr>
      <w:rPr>
        <w:rFonts w:hint="eastAsia" w:ascii="宋体" w:eastAsia="宋体"/>
        <w:b/>
        <w:i w:val="0"/>
        <w:sz w:val="30"/>
      </w:rPr>
    </w:lvl>
    <w:lvl w:ilvl="2" w:tentative="0">
      <w:start w:val="1"/>
      <w:numFmt w:val="decimal"/>
      <w:pStyle w:val="4"/>
      <w:lvlText w:val="%1.%2.%3."/>
      <w:lvlJc w:val="left"/>
      <w:pPr>
        <w:ind w:left="709" w:hanging="709"/>
      </w:pPr>
      <w:rPr>
        <w:rFonts w:hint="eastAsia" w:ascii="宋体" w:eastAsia="宋体"/>
        <w:b/>
        <w:i w:val="0"/>
        <w:sz w:val="28"/>
      </w:rPr>
    </w:lvl>
    <w:lvl w:ilvl="3" w:tentative="0">
      <w:start w:val="1"/>
      <w:numFmt w:val="decimal"/>
      <w:pStyle w:val="5"/>
      <w:lvlText w:val="%1.%2.%3.%4."/>
      <w:lvlJc w:val="left"/>
      <w:pPr>
        <w:ind w:left="851" w:hanging="851"/>
      </w:pPr>
      <w:rPr>
        <w:rFonts w:hint="eastAsia" w:ascii="宋体" w:eastAsia="宋体"/>
        <w:b/>
        <w:i w:val="0"/>
        <w:sz w:val="24"/>
      </w:rPr>
    </w:lvl>
    <w:lvl w:ilvl="4" w:tentative="0">
      <w:start w:val="1"/>
      <w:numFmt w:val="decimal"/>
      <w:pStyle w:val="6"/>
      <w:lvlText w:val="%1.%2.%3.%4.%5."/>
      <w:lvlJc w:val="left"/>
      <w:pPr>
        <w:ind w:left="992" w:hanging="992"/>
      </w:pPr>
      <w:rPr>
        <w:rFonts w:hint="eastAsia" w:ascii="宋体" w:eastAsia="宋体"/>
        <w:sz w:val="24"/>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8"/>
  </w:num>
  <w:num w:numId="2">
    <w:abstractNumId w:val="0"/>
  </w:num>
  <w:num w:numId="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4"/>
  </w:num>
  <w:num w:numId="7">
    <w:abstractNumId w:val="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Y1ZGUyNjRmZmY2OTI3ODIxMGY3ZGI4OTg1Y2I1YjEifQ=="/>
  </w:docVars>
  <w:rsids>
    <w:rsidRoot w:val="00A718D4"/>
    <w:rsid w:val="00006E29"/>
    <w:rsid w:val="0002151F"/>
    <w:rsid w:val="0002423F"/>
    <w:rsid w:val="000315C7"/>
    <w:rsid w:val="000316D4"/>
    <w:rsid w:val="000371C2"/>
    <w:rsid w:val="00041AD2"/>
    <w:rsid w:val="000635A0"/>
    <w:rsid w:val="000727C3"/>
    <w:rsid w:val="00075607"/>
    <w:rsid w:val="00080291"/>
    <w:rsid w:val="00082E16"/>
    <w:rsid w:val="00083716"/>
    <w:rsid w:val="00086011"/>
    <w:rsid w:val="000A338A"/>
    <w:rsid w:val="000B455E"/>
    <w:rsid w:val="000C181B"/>
    <w:rsid w:val="000C241C"/>
    <w:rsid w:val="000C3574"/>
    <w:rsid w:val="000C41FB"/>
    <w:rsid w:val="000D76E0"/>
    <w:rsid w:val="000F5364"/>
    <w:rsid w:val="000F5A2B"/>
    <w:rsid w:val="001019FA"/>
    <w:rsid w:val="001042AA"/>
    <w:rsid w:val="0013209E"/>
    <w:rsid w:val="001A37BB"/>
    <w:rsid w:val="001C2DF4"/>
    <w:rsid w:val="001F3973"/>
    <w:rsid w:val="001F4175"/>
    <w:rsid w:val="001F437F"/>
    <w:rsid w:val="001F4C25"/>
    <w:rsid w:val="001F4EE4"/>
    <w:rsid w:val="001F7857"/>
    <w:rsid w:val="00207EDB"/>
    <w:rsid w:val="00232FBC"/>
    <w:rsid w:val="00277872"/>
    <w:rsid w:val="002A6180"/>
    <w:rsid w:val="002C3732"/>
    <w:rsid w:val="002D6702"/>
    <w:rsid w:val="002F1CEE"/>
    <w:rsid w:val="00326DA1"/>
    <w:rsid w:val="003468CC"/>
    <w:rsid w:val="00373547"/>
    <w:rsid w:val="00386FE6"/>
    <w:rsid w:val="003B4FF9"/>
    <w:rsid w:val="003B654F"/>
    <w:rsid w:val="003B78B1"/>
    <w:rsid w:val="003C7737"/>
    <w:rsid w:val="003D4274"/>
    <w:rsid w:val="003F5439"/>
    <w:rsid w:val="003F7697"/>
    <w:rsid w:val="00441E00"/>
    <w:rsid w:val="004652B8"/>
    <w:rsid w:val="00472579"/>
    <w:rsid w:val="00472EF0"/>
    <w:rsid w:val="00475B44"/>
    <w:rsid w:val="00493265"/>
    <w:rsid w:val="004B3A38"/>
    <w:rsid w:val="004C3D09"/>
    <w:rsid w:val="004C7A05"/>
    <w:rsid w:val="0052656A"/>
    <w:rsid w:val="00542589"/>
    <w:rsid w:val="00544514"/>
    <w:rsid w:val="00577224"/>
    <w:rsid w:val="0059352B"/>
    <w:rsid w:val="005A7300"/>
    <w:rsid w:val="005E370C"/>
    <w:rsid w:val="005F5BFE"/>
    <w:rsid w:val="005F7382"/>
    <w:rsid w:val="00692CE6"/>
    <w:rsid w:val="00696BBB"/>
    <w:rsid w:val="006A6E81"/>
    <w:rsid w:val="006B7975"/>
    <w:rsid w:val="007267C5"/>
    <w:rsid w:val="007556C5"/>
    <w:rsid w:val="00760DF3"/>
    <w:rsid w:val="007C1DFD"/>
    <w:rsid w:val="007C4CD3"/>
    <w:rsid w:val="007C69B7"/>
    <w:rsid w:val="007C7007"/>
    <w:rsid w:val="007D1760"/>
    <w:rsid w:val="00814666"/>
    <w:rsid w:val="00824E37"/>
    <w:rsid w:val="00877CBC"/>
    <w:rsid w:val="00885C58"/>
    <w:rsid w:val="008A45E3"/>
    <w:rsid w:val="008A48F2"/>
    <w:rsid w:val="008B454E"/>
    <w:rsid w:val="008B7FF1"/>
    <w:rsid w:val="008E012A"/>
    <w:rsid w:val="008E41A3"/>
    <w:rsid w:val="008F4EB0"/>
    <w:rsid w:val="00902220"/>
    <w:rsid w:val="009160F4"/>
    <w:rsid w:val="00926F3A"/>
    <w:rsid w:val="00953F83"/>
    <w:rsid w:val="00954212"/>
    <w:rsid w:val="009803CB"/>
    <w:rsid w:val="00982EED"/>
    <w:rsid w:val="009A437F"/>
    <w:rsid w:val="009B6D0A"/>
    <w:rsid w:val="009C1645"/>
    <w:rsid w:val="00A11426"/>
    <w:rsid w:val="00A1317F"/>
    <w:rsid w:val="00A13A2D"/>
    <w:rsid w:val="00A146DB"/>
    <w:rsid w:val="00A23A6E"/>
    <w:rsid w:val="00A36FDB"/>
    <w:rsid w:val="00A5126C"/>
    <w:rsid w:val="00A718D4"/>
    <w:rsid w:val="00A727ED"/>
    <w:rsid w:val="00A76BA4"/>
    <w:rsid w:val="00AA381D"/>
    <w:rsid w:val="00AA6404"/>
    <w:rsid w:val="00AC3B8C"/>
    <w:rsid w:val="00AD6881"/>
    <w:rsid w:val="00AF4CF8"/>
    <w:rsid w:val="00AF59A6"/>
    <w:rsid w:val="00B03E28"/>
    <w:rsid w:val="00B065EC"/>
    <w:rsid w:val="00B12280"/>
    <w:rsid w:val="00B14477"/>
    <w:rsid w:val="00B2195F"/>
    <w:rsid w:val="00B9517E"/>
    <w:rsid w:val="00B96B78"/>
    <w:rsid w:val="00BA2C25"/>
    <w:rsid w:val="00BA2ED0"/>
    <w:rsid w:val="00BC2E34"/>
    <w:rsid w:val="00BE3661"/>
    <w:rsid w:val="00BE38E4"/>
    <w:rsid w:val="00C101FA"/>
    <w:rsid w:val="00C268B4"/>
    <w:rsid w:val="00C60D8F"/>
    <w:rsid w:val="00C631A9"/>
    <w:rsid w:val="00C75934"/>
    <w:rsid w:val="00CB2680"/>
    <w:rsid w:val="00CC059B"/>
    <w:rsid w:val="00CE33D0"/>
    <w:rsid w:val="00CE5796"/>
    <w:rsid w:val="00D37C55"/>
    <w:rsid w:val="00D577A2"/>
    <w:rsid w:val="00DA02C3"/>
    <w:rsid w:val="00DB3BFF"/>
    <w:rsid w:val="00DC107B"/>
    <w:rsid w:val="00DC43F6"/>
    <w:rsid w:val="00DE06E0"/>
    <w:rsid w:val="00DF5157"/>
    <w:rsid w:val="00E2018A"/>
    <w:rsid w:val="00E2448F"/>
    <w:rsid w:val="00E43D13"/>
    <w:rsid w:val="00E53592"/>
    <w:rsid w:val="00E54EB6"/>
    <w:rsid w:val="00E64EB9"/>
    <w:rsid w:val="00E67686"/>
    <w:rsid w:val="00E84317"/>
    <w:rsid w:val="00E91E8B"/>
    <w:rsid w:val="00EC0DCE"/>
    <w:rsid w:val="00EC1908"/>
    <w:rsid w:val="00EC3D7D"/>
    <w:rsid w:val="00EC5F5B"/>
    <w:rsid w:val="00EE0509"/>
    <w:rsid w:val="00EE20BE"/>
    <w:rsid w:val="00F0106D"/>
    <w:rsid w:val="00F17645"/>
    <w:rsid w:val="00F1764D"/>
    <w:rsid w:val="00F215C0"/>
    <w:rsid w:val="00F23B29"/>
    <w:rsid w:val="00F31674"/>
    <w:rsid w:val="00F508F7"/>
    <w:rsid w:val="00F70A3D"/>
    <w:rsid w:val="00F70C93"/>
    <w:rsid w:val="00F80CBB"/>
    <w:rsid w:val="00F83C36"/>
    <w:rsid w:val="00FA5E36"/>
    <w:rsid w:val="00FC4CA9"/>
    <w:rsid w:val="00FD39CD"/>
    <w:rsid w:val="00FE7957"/>
    <w:rsid w:val="00FF1760"/>
    <w:rsid w:val="0143305E"/>
    <w:rsid w:val="01635C49"/>
    <w:rsid w:val="02726379"/>
    <w:rsid w:val="029D33DC"/>
    <w:rsid w:val="03B10EED"/>
    <w:rsid w:val="04894B4E"/>
    <w:rsid w:val="04D53301"/>
    <w:rsid w:val="05095953"/>
    <w:rsid w:val="050A6299"/>
    <w:rsid w:val="05E05F78"/>
    <w:rsid w:val="0664493D"/>
    <w:rsid w:val="067F4F32"/>
    <w:rsid w:val="06AB4AC7"/>
    <w:rsid w:val="080A5070"/>
    <w:rsid w:val="08365E65"/>
    <w:rsid w:val="0C2729FA"/>
    <w:rsid w:val="0C4024A9"/>
    <w:rsid w:val="0C7156BE"/>
    <w:rsid w:val="0CA1515F"/>
    <w:rsid w:val="0FC5338D"/>
    <w:rsid w:val="11E14DB8"/>
    <w:rsid w:val="144C3EFD"/>
    <w:rsid w:val="14B746B8"/>
    <w:rsid w:val="14FB20E5"/>
    <w:rsid w:val="174C7D91"/>
    <w:rsid w:val="189208BC"/>
    <w:rsid w:val="1A8011C2"/>
    <w:rsid w:val="1B2245C1"/>
    <w:rsid w:val="1D6B75AB"/>
    <w:rsid w:val="1E200CF1"/>
    <w:rsid w:val="1EBF39E5"/>
    <w:rsid w:val="1EE061C6"/>
    <w:rsid w:val="1FD5683B"/>
    <w:rsid w:val="212F4B87"/>
    <w:rsid w:val="21C2061E"/>
    <w:rsid w:val="22D45AC8"/>
    <w:rsid w:val="23931F66"/>
    <w:rsid w:val="25021151"/>
    <w:rsid w:val="25BF43FD"/>
    <w:rsid w:val="25F43EB0"/>
    <w:rsid w:val="26054A2B"/>
    <w:rsid w:val="26347D83"/>
    <w:rsid w:val="26CF1507"/>
    <w:rsid w:val="27133AE9"/>
    <w:rsid w:val="27E07A7C"/>
    <w:rsid w:val="28220EEB"/>
    <w:rsid w:val="2A2A010E"/>
    <w:rsid w:val="2B090F79"/>
    <w:rsid w:val="2B7B58B7"/>
    <w:rsid w:val="2C014940"/>
    <w:rsid w:val="2CA174A1"/>
    <w:rsid w:val="2D047A30"/>
    <w:rsid w:val="2D0C47AF"/>
    <w:rsid w:val="2EB926E0"/>
    <w:rsid w:val="2FF9627D"/>
    <w:rsid w:val="307F5C1F"/>
    <w:rsid w:val="3677EBF8"/>
    <w:rsid w:val="37020D70"/>
    <w:rsid w:val="37F963E3"/>
    <w:rsid w:val="38226E4D"/>
    <w:rsid w:val="39060BB0"/>
    <w:rsid w:val="39597B8B"/>
    <w:rsid w:val="39A145A5"/>
    <w:rsid w:val="3A7E0E22"/>
    <w:rsid w:val="3A88179F"/>
    <w:rsid w:val="3C944901"/>
    <w:rsid w:val="3D0641F3"/>
    <w:rsid w:val="3DFED76F"/>
    <w:rsid w:val="3E854E75"/>
    <w:rsid w:val="3F6C5B30"/>
    <w:rsid w:val="3FFD5677"/>
    <w:rsid w:val="401D4123"/>
    <w:rsid w:val="404E573A"/>
    <w:rsid w:val="408A49C4"/>
    <w:rsid w:val="40B02061"/>
    <w:rsid w:val="41DE40D0"/>
    <w:rsid w:val="422F6EA6"/>
    <w:rsid w:val="42700360"/>
    <w:rsid w:val="42CD2946"/>
    <w:rsid w:val="436A0A25"/>
    <w:rsid w:val="43A91A60"/>
    <w:rsid w:val="457A3167"/>
    <w:rsid w:val="45902E8E"/>
    <w:rsid w:val="45AA6F6F"/>
    <w:rsid w:val="465E4442"/>
    <w:rsid w:val="48DD6C85"/>
    <w:rsid w:val="49B35105"/>
    <w:rsid w:val="4B272E10"/>
    <w:rsid w:val="4C416153"/>
    <w:rsid w:val="4C4B0F9A"/>
    <w:rsid w:val="4CDB408F"/>
    <w:rsid w:val="4D1950B4"/>
    <w:rsid w:val="4EC936AF"/>
    <w:rsid w:val="4F2B02C5"/>
    <w:rsid w:val="4F8D61C2"/>
    <w:rsid w:val="52213AE9"/>
    <w:rsid w:val="53CA4571"/>
    <w:rsid w:val="53EA0CED"/>
    <w:rsid w:val="54685C54"/>
    <w:rsid w:val="54D62718"/>
    <w:rsid w:val="558C6691"/>
    <w:rsid w:val="5A7A11AE"/>
    <w:rsid w:val="5B122A83"/>
    <w:rsid w:val="5BA137CF"/>
    <w:rsid w:val="5C3C0924"/>
    <w:rsid w:val="5C95407D"/>
    <w:rsid w:val="5EF56B54"/>
    <w:rsid w:val="5EFE29CE"/>
    <w:rsid w:val="5FEDE12D"/>
    <w:rsid w:val="617D08D0"/>
    <w:rsid w:val="61E909C7"/>
    <w:rsid w:val="61F25ACE"/>
    <w:rsid w:val="62137FEA"/>
    <w:rsid w:val="623D7FBE"/>
    <w:rsid w:val="63253C81"/>
    <w:rsid w:val="63870498"/>
    <w:rsid w:val="63D27965"/>
    <w:rsid w:val="64546390"/>
    <w:rsid w:val="654E33A1"/>
    <w:rsid w:val="6743550A"/>
    <w:rsid w:val="67B27FA2"/>
    <w:rsid w:val="690356FB"/>
    <w:rsid w:val="699321C6"/>
    <w:rsid w:val="6AE306AA"/>
    <w:rsid w:val="6BFE6710"/>
    <w:rsid w:val="6CD91AE5"/>
    <w:rsid w:val="6CE8752A"/>
    <w:rsid w:val="6D0E5786"/>
    <w:rsid w:val="6D9E09A9"/>
    <w:rsid w:val="6EBF4F8A"/>
    <w:rsid w:val="6F9F3601"/>
    <w:rsid w:val="6FBEED8F"/>
    <w:rsid w:val="6FC7D4A2"/>
    <w:rsid w:val="6FFEED11"/>
    <w:rsid w:val="712D0787"/>
    <w:rsid w:val="72395053"/>
    <w:rsid w:val="728E539F"/>
    <w:rsid w:val="72DC45B8"/>
    <w:rsid w:val="73532145"/>
    <w:rsid w:val="73F77F1F"/>
    <w:rsid w:val="74BC2FDF"/>
    <w:rsid w:val="75146DB1"/>
    <w:rsid w:val="756163EF"/>
    <w:rsid w:val="75EC138D"/>
    <w:rsid w:val="765DCAA1"/>
    <w:rsid w:val="77CB9896"/>
    <w:rsid w:val="77E3A148"/>
    <w:rsid w:val="77FB1EA6"/>
    <w:rsid w:val="7896539C"/>
    <w:rsid w:val="79226841"/>
    <w:rsid w:val="798017B9"/>
    <w:rsid w:val="7991051E"/>
    <w:rsid w:val="79DD01E2"/>
    <w:rsid w:val="7A102B3D"/>
    <w:rsid w:val="7AA65250"/>
    <w:rsid w:val="7B407452"/>
    <w:rsid w:val="7B77AD6D"/>
    <w:rsid w:val="7B98103C"/>
    <w:rsid w:val="7CE40167"/>
    <w:rsid w:val="7D7034DE"/>
    <w:rsid w:val="7DC23F72"/>
    <w:rsid w:val="7E091226"/>
    <w:rsid w:val="7E666C95"/>
    <w:rsid w:val="7E7318ED"/>
    <w:rsid w:val="7E7B0DF9"/>
    <w:rsid w:val="7E979725"/>
    <w:rsid w:val="7E9FD48E"/>
    <w:rsid w:val="7F819383"/>
    <w:rsid w:val="7FDA1B99"/>
    <w:rsid w:val="7FFEF31D"/>
    <w:rsid w:val="8F3F86FF"/>
    <w:rsid w:val="9FBF8128"/>
    <w:rsid w:val="B3DD8D09"/>
    <w:rsid w:val="BBFF4456"/>
    <w:rsid w:val="CFD7CD2B"/>
    <w:rsid w:val="DB4BCB94"/>
    <w:rsid w:val="DC36259A"/>
    <w:rsid w:val="DF7B40C1"/>
    <w:rsid w:val="DF7EA345"/>
    <w:rsid w:val="DF7FA6E4"/>
    <w:rsid w:val="EBFF8D39"/>
    <w:rsid w:val="EFDB949F"/>
    <w:rsid w:val="EFF387C1"/>
    <w:rsid w:val="F65F07C0"/>
    <w:rsid w:val="F73D8088"/>
    <w:rsid w:val="F90F640E"/>
    <w:rsid w:val="FB7FEE8D"/>
    <w:rsid w:val="FDFB38F6"/>
    <w:rsid w:val="FEFDC5B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qFormat="1"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4"/>
      <w:szCs w:val="22"/>
      <w:lang w:val="en-US" w:eastAsia="zh-CN" w:bidi="ar-SA"/>
    </w:rPr>
  </w:style>
  <w:style w:type="paragraph" w:styleId="2">
    <w:name w:val="heading 1"/>
    <w:basedOn w:val="1"/>
    <w:next w:val="1"/>
    <w:link w:val="48"/>
    <w:qFormat/>
    <w:uiPriority w:val="0"/>
    <w:pPr>
      <w:keepNext/>
      <w:keepLines/>
      <w:numPr>
        <w:ilvl w:val="0"/>
        <w:numId w:val="1"/>
      </w:numPr>
      <w:spacing w:before="340" w:after="330"/>
      <w:jc w:val="center"/>
      <w:outlineLvl w:val="0"/>
    </w:pPr>
    <w:rPr>
      <w:rFonts w:ascii="Times New Roman" w:hAnsi="Times New Roman" w:eastAsia="宋体" w:cs="Times New Roman"/>
      <w:b/>
      <w:bCs/>
      <w:kern w:val="44"/>
      <w:sz w:val="32"/>
      <w:szCs w:val="44"/>
    </w:rPr>
  </w:style>
  <w:style w:type="paragraph" w:styleId="3">
    <w:name w:val="heading 2"/>
    <w:basedOn w:val="1"/>
    <w:next w:val="1"/>
    <w:link w:val="49"/>
    <w:unhideWhenUsed/>
    <w:qFormat/>
    <w:uiPriority w:val="0"/>
    <w:pPr>
      <w:keepNext/>
      <w:keepLines/>
      <w:numPr>
        <w:ilvl w:val="1"/>
        <w:numId w:val="1"/>
      </w:numPr>
      <w:spacing w:before="260" w:after="260"/>
      <w:outlineLvl w:val="1"/>
    </w:pPr>
    <w:rPr>
      <w:rFonts w:asciiTheme="majorHAnsi" w:hAnsiTheme="majorHAnsi" w:eastAsiaTheme="majorEastAsia" w:cstheme="majorBidi"/>
      <w:b/>
      <w:bCs/>
      <w:sz w:val="30"/>
      <w:szCs w:val="32"/>
    </w:rPr>
  </w:style>
  <w:style w:type="paragraph" w:styleId="4">
    <w:name w:val="heading 3"/>
    <w:basedOn w:val="1"/>
    <w:next w:val="1"/>
    <w:link w:val="50"/>
    <w:unhideWhenUsed/>
    <w:qFormat/>
    <w:uiPriority w:val="0"/>
    <w:pPr>
      <w:keepNext/>
      <w:keepLines/>
      <w:numPr>
        <w:ilvl w:val="2"/>
        <w:numId w:val="1"/>
      </w:numPr>
      <w:spacing w:before="260" w:after="260"/>
      <w:outlineLvl w:val="2"/>
    </w:pPr>
    <w:rPr>
      <w:rFonts w:ascii="Times New Roman" w:hAnsi="Times New Roman" w:eastAsia="宋体" w:cs="Times New Roman"/>
      <w:b/>
      <w:bCs/>
      <w:sz w:val="28"/>
      <w:szCs w:val="32"/>
    </w:rPr>
  </w:style>
  <w:style w:type="paragraph" w:styleId="5">
    <w:name w:val="heading 4"/>
    <w:basedOn w:val="1"/>
    <w:next w:val="1"/>
    <w:link w:val="51"/>
    <w:unhideWhenUsed/>
    <w:qFormat/>
    <w:uiPriority w:val="0"/>
    <w:pPr>
      <w:keepNext/>
      <w:keepLines/>
      <w:numPr>
        <w:ilvl w:val="3"/>
        <w:numId w:val="1"/>
      </w:numPr>
      <w:spacing w:before="280" w:after="290"/>
      <w:outlineLvl w:val="3"/>
    </w:pPr>
    <w:rPr>
      <w:rFonts w:asciiTheme="majorHAnsi" w:hAnsiTheme="majorHAnsi" w:eastAsiaTheme="majorEastAsia" w:cstheme="majorBidi"/>
      <w:b/>
      <w:bCs/>
      <w:szCs w:val="28"/>
    </w:rPr>
  </w:style>
  <w:style w:type="paragraph" w:styleId="6">
    <w:name w:val="heading 5"/>
    <w:basedOn w:val="1"/>
    <w:next w:val="1"/>
    <w:link w:val="52"/>
    <w:unhideWhenUsed/>
    <w:qFormat/>
    <w:uiPriority w:val="0"/>
    <w:pPr>
      <w:keepNext/>
      <w:keepLines/>
      <w:numPr>
        <w:ilvl w:val="4"/>
        <w:numId w:val="1"/>
      </w:numPr>
      <w:spacing w:before="280" w:after="290" w:line="376" w:lineRule="auto"/>
      <w:outlineLvl w:val="4"/>
    </w:pPr>
    <w:rPr>
      <w:rFonts w:ascii="Times New Roman" w:hAnsi="Times New Roman" w:eastAsia="宋体" w:cs="Times New Roman"/>
      <w:bCs/>
      <w:szCs w:val="28"/>
    </w:rPr>
  </w:style>
  <w:style w:type="paragraph" w:styleId="7">
    <w:name w:val="heading 6"/>
    <w:basedOn w:val="1"/>
    <w:next w:val="1"/>
    <w:link w:val="55"/>
    <w:unhideWhenUsed/>
    <w:qFormat/>
    <w:uiPriority w:val="0"/>
    <w:pPr>
      <w:keepNext/>
      <w:keepLines/>
      <w:spacing w:before="240" w:after="64" w:line="319" w:lineRule="auto"/>
      <w:outlineLvl w:val="5"/>
    </w:pPr>
    <w:rPr>
      <w:rFonts w:asciiTheme="majorHAnsi" w:hAnsiTheme="majorHAnsi" w:eastAsiaTheme="majorEastAsia" w:cstheme="majorBidi"/>
      <w:b/>
      <w:bCs/>
      <w:szCs w:val="24"/>
    </w:rPr>
  </w:style>
  <w:style w:type="paragraph" w:styleId="8">
    <w:name w:val="heading 7"/>
    <w:basedOn w:val="1"/>
    <w:next w:val="1"/>
    <w:link w:val="56"/>
    <w:unhideWhenUsed/>
    <w:qFormat/>
    <w:uiPriority w:val="0"/>
    <w:pPr>
      <w:autoSpaceDE w:val="0"/>
      <w:autoSpaceDN w:val="0"/>
      <w:spacing w:line="240" w:lineRule="auto"/>
      <w:ind w:left="114"/>
      <w:jc w:val="left"/>
      <w:outlineLvl w:val="6"/>
    </w:pPr>
    <w:rPr>
      <w:rFonts w:ascii="宋体" w:hAnsi="宋体" w:eastAsia="宋体" w:cs="宋体"/>
      <w:kern w:val="0"/>
      <w:szCs w:val="24"/>
      <w:lang w:eastAsia="en-US"/>
    </w:rPr>
  </w:style>
  <w:style w:type="paragraph" w:styleId="9">
    <w:name w:val="heading 8"/>
    <w:basedOn w:val="1"/>
    <w:next w:val="1"/>
    <w:link w:val="57"/>
    <w:unhideWhenUsed/>
    <w:qFormat/>
    <w:uiPriority w:val="0"/>
    <w:pPr>
      <w:keepNext/>
      <w:keepLines/>
      <w:spacing w:before="240" w:after="64" w:line="320" w:lineRule="auto"/>
      <w:outlineLvl w:val="7"/>
    </w:pPr>
    <w:rPr>
      <w:rFonts w:asciiTheme="majorHAnsi" w:hAnsiTheme="majorHAnsi" w:eastAsiaTheme="majorEastAsia" w:cstheme="majorBidi"/>
      <w:szCs w:val="24"/>
    </w:rPr>
  </w:style>
  <w:style w:type="paragraph" w:styleId="10">
    <w:name w:val="heading 9"/>
    <w:basedOn w:val="1"/>
    <w:next w:val="1"/>
    <w:link w:val="58"/>
    <w:unhideWhenUsed/>
    <w:qFormat/>
    <w:uiPriority w:val="0"/>
    <w:pPr>
      <w:keepNext/>
      <w:keepLines/>
      <w:spacing w:beforeLines="50" w:after="64" w:line="319" w:lineRule="auto"/>
      <w:ind w:left="1584" w:hanging="1584"/>
      <w:outlineLvl w:val="8"/>
    </w:pPr>
    <w:rPr>
      <w:rFonts w:ascii="Cambria" w:hAnsi="Cambria" w:eastAsia="宋体" w:cs="Times New Roman"/>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line="240" w:lineRule="auto"/>
      <w:ind w:left="1260"/>
      <w:jc w:val="left"/>
    </w:pPr>
    <w:rPr>
      <w:rFonts w:ascii="Calibri" w:hAnsi="Calibri" w:eastAsia="宋体" w:cs="Calibri"/>
      <w:sz w:val="18"/>
      <w:szCs w:val="18"/>
    </w:rPr>
  </w:style>
  <w:style w:type="paragraph" w:styleId="12">
    <w:name w:val="List Bullet 4"/>
    <w:basedOn w:val="1"/>
    <w:semiHidden/>
    <w:unhideWhenUsed/>
    <w:qFormat/>
    <w:uiPriority w:val="99"/>
    <w:pPr>
      <w:numPr>
        <w:ilvl w:val="0"/>
        <w:numId w:val="2"/>
      </w:numPr>
      <w:contextualSpacing/>
    </w:pPr>
    <w:rPr>
      <w:rFonts w:ascii="Times New Roman" w:hAnsi="Times New Roman" w:eastAsia="宋体" w:cs="Times New Roman"/>
      <w:szCs w:val="24"/>
    </w:rPr>
  </w:style>
  <w:style w:type="paragraph" w:styleId="13">
    <w:name w:val="Normal Indent"/>
    <w:basedOn w:val="1"/>
    <w:link w:val="66"/>
    <w:qFormat/>
    <w:uiPriority w:val="0"/>
    <w:pPr>
      <w:spacing w:line="240" w:lineRule="auto"/>
      <w:ind w:firstLine="420" w:firstLineChars="200"/>
    </w:pPr>
    <w:rPr>
      <w:rFonts w:ascii="Times New Roman" w:hAnsi="Times New Roman" w:eastAsia="宋体" w:cs="Times New Roman"/>
      <w:sz w:val="21"/>
      <w:szCs w:val="24"/>
    </w:rPr>
  </w:style>
  <w:style w:type="paragraph" w:styleId="14">
    <w:name w:val="Document Map"/>
    <w:basedOn w:val="1"/>
    <w:link w:val="65"/>
    <w:semiHidden/>
    <w:qFormat/>
    <w:uiPriority w:val="0"/>
    <w:pPr>
      <w:shd w:val="clear" w:color="auto" w:fill="000080"/>
      <w:spacing w:line="240" w:lineRule="auto"/>
    </w:pPr>
    <w:rPr>
      <w:rFonts w:ascii="Times New Roman" w:hAnsi="Times New Roman" w:eastAsia="宋体" w:cs="Times New Roman"/>
      <w:sz w:val="21"/>
      <w:szCs w:val="24"/>
    </w:rPr>
  </w:style>
  <w:style w:type="paragraph" w:styleId="15">
    <w:name w:val="annotation text"/>
    <w:basedOn w:val="1"/>
    <w:link w:val="186"/>
    <w:qFormat/>
    <w:uiPriority w:val="0"/>
    <w:pPr>
      <w:spacing w:line="240" w:lineRule="auto"/>
      <w:jc w:val="left"/>
    </w:pPr>
    <w:rPr>
      <w:rFonts w:ascii="Times New Roman" w:hAnsi="Times New Roman" w:eastAsia="宋体" w:cs="Times New Roman"/>
      <w:sz w:val="21"/>
      <w:szCs w:val="24"/>
    </w:rPr>
  </w:style>
  <w:style w:type="paragraph" w:styleId="16">
    <w:name w:val="Salutation"/>
    <w:basedOn w:val="1"/>
    <w:next w:val="1"/>
    <w:link w:val="71"/>
    <w:qFormat/>
    <w:uiPriority w:val="0"/>
    <w:pPr>
      <w:spacing w:line="240" w:lineRule="auto"/>
    </w:pPr>
    <w:rPr>
      <w:rFonts w:ascii="Times New Roman" w:hAnsi="Times New Roman" w:eastAsia="宋体" w:cs="Times New Roman"/>
      <w:szCs w:val="20"/>
    </w:rPr>
  </w:style>
  <w:style w:type="paragraph" w:styleId="17">
    <w:name w:val="Body Text"/>
    <w:basedOn w:val="1"/>
    <w:link w:val="72"/>
    <w:qFormat/>
    <w:uiPriority w:val="1"/>
    <w:pPr>
      <w:spacing w:after="120" w:line="240" w:lineRule="auto"/>
    </w:pPr>
    <w:rPr>
      <w:rFonts w:ascii="Times New Roman" w:hAnsi="Times New Roman" w:eastAsia="宋体" w:cs="Times New Roman"/>
      <w:sz w:val="21"/>
      <w:szCs w:val="24"/>
    </w:rPr>
  </w:style>
  <w:style w:type="paragraph" w:styleId="18">
    <w:name w:val="Body Text Indent"/>
    <w:basedOn w:val="1"/>
    <w:link w:val="63"/>
    <w:qFormat/>
    <w:uiPriority w:val="0"/>
    <w:pPr>
      <w:spacing w:after="120" w:line="240" w:lineRule="auto"/>
      <w:ind w:left="420" w:leftChars="200"/>
    </w:pPr>
    <w:rPr>
      <w:rFonts w:ascii="Times New Roman" w:hAnsi="Times New Roman" w:eastAsia="宋体" w:cs="Times New Roman"/>
      <w:sz w:val="21"/>
      <w:szCs w:val="24"/>
    </w:rPr>
  </w:style>
  <w:style w:type="paragraph" w:styleId="19">
    <w:name w:val="toc 5"/>
    <w:basedOn w:val="1"/>
    <w:next w:val="1"/>
    <w:unhideWhenUsed/>
    <w:qFormat/>
    <w:uiPriority w:val="39"/>
    <w:pPr>
      <w:spacing w:line="240" w:lineRule="auto"/>
      <w:ind w:left="840"/>
      <w:jc w:val="left"/>
    </w:pPr>
    <w:rPr>
      <w:rFonts w:ascii="Calibri" w:hAnsi="Calibri" w:eastAsia="宋体" w:cs="Calibri"/>
      <w:sz w:val="18"/>
      <w:szCs w:val="18"/>
    </w:rPr>
  </w:style>
  <w:style w:type="paragraph" w:styleId="20">
    <w:name w:val="toc 3"/>
    <w:basedOn w:val="1"/>
    <w:next w:val="1"/>
    <w:unhideWhenUsed/>
    <w:qFormat/>
    <w:uiPriority w:val="39"/>
    <w:pPr>
      <w:spacing w:line="240" w:lineRule="auto"/>
      <w:ind w:left="420"/>
      <w:jc w:val="left"/>
    </w:pPr>
    <w:rPr>
      <w:rFonts w:ascii="Calibri" w:hAnsi="Calibri" w:eastAsia="宋体" w:cs="Calibri"/>
      <w:i/>
      <w:iCs/>
      <w:sz w:val="20"/>
      <w:szCs w:val="20"/>
    </w:rPr>
  </w:style>
  <w:style w:type="paragraph" w:styleId="21">
    <w:name w:val="Plain Text"/>
    <w:basedOn w:val="1"/>
    <w:link w:val="78"/>
    <w:qFormat/>
    <w:uiPriority w:val="0"/>
    <w:pPr>
      <w:tabs>
        <w:tab w:val="left" w:pos="840"/>
      </w:tabs>
      <w:spacing w:after="120" w:line="240" w:lineRule="atLeast"/>
      <w:ind w:left="840" w:hanging="420"/>
    </w:pPr>
    <w:rPr>
      <w:rFonts w:ascii="宋体" w:hAnsi="Courier New" w:eastAsia="宋体" w:cs="Courier New"/>
      <w:kern w:val="0"/>
      <w:sz w:val="21"/>
      <w:szCs w:val="21"/>
      <w:lang w:val="en-GB"/>
    </w:rPr>
  </w:style>
  <w:style w:type="paragraph" w:styleId="22">
    <w:name w:val="toc 8"/>
    <w:basedOn w:val="1"/>
    <w:next w:val="1"/>
    <w:qFormat/>
    <w:uiPriority w:val="39"/>
    <w:pPr>
      <w:spacing w:line="240" w:lineRule="auto"/>
      <w:ind w:left="1470"/>
      <w:jc w:val="left"/>
    </w:pPr>
    <w:rPr>
      <w:rFonts w:ascii="Calibri" w:hAnsi="Calibri" w:eastAsia="宋体" w:cs="Calibri"/>
      <w:sz w:val="18"/>
      <w:szCs w:val="18"/>
    </w:rPr>
  </w:style>
  <w:style w:type="paragraph" w:styleId="23">
    <w:name w:val="Date"/>
    <w:basedOn w:val="1"/>
    <w:next w:val="1"/>
    <w:link w:val="213"/>
    <w:qFormat/>
    <w:uiPriority w:val="0"/>
    <w:pPr>
      <w:widowControl/>
      <w:spacing w:line="240" w:lineRule="auto"/>
      <w:ind w:left="100" w:leftChars="2500"/>
      <w:jc w:val="left"/>
    </w:pPr>
    <w:rPr>
      <w:rFonts w:ascii="Times New Roman" w:hAnsi="Times New Roman" w:eastAsia="宋体" w:cs="Times New Roman"/>
      <w:kern w:val="0"/>
      <w:szCs w:val="24"/>
      <w:lang w:eastAsia="en-US"/>
    </w:rPr>
  </w:style>
  <w:style w:type="paragraph" w:styleId="24">
    <w:name w:val="Body Text Indent 2"/>
    <w:basedOn w:val="1"/>
    <w:link w:val="215"/>
    <w:qFormat/>
    <w:uiPriority w:val="0"/>
    <w:pPr>
      <w:spacing w:after="120" w:line="480" w:lineRule="auto"/>
      <w:ind w:left="420" w:leftChars="200"/>
    </w:pPr>
    <w:rPr>
      <w:rFonts w:ascii="Times New Roman" w:hAnsi="Times New Roman" w:eastAsia="宋体" w:cs="Times New Roman"/>
      <w:sz w:val="21"/>
      <w:szCs w:val="24"/>
    </w:rPr>
  </w:style>
  <w:style w:type="paragraph" w:styleId="25">
    <w:name w:val="Balloon Text"/>
    <w:basedOn w:val="1"/>
    <w:link w:val="59"/>
    <w:semiHidden/>
    <w:unhideWhenUsed/>
    <w:qFormat/>
    <w:uiPriority w:val="99"/>
    <w:pPr>
      <w:spacing w:line="240" w:lineRule="auto"/>
    </w:pPr>
    <w:rPr>
      <w:sz w:val="18"/>
      <w:szCs w:val="18"/>
    </w:rPr>
  </w:style>
  <w:style w:type="paragraph" w:styleId="26">
    <w:name w:val="footer"/>
    <w:basedOn w:val="1"/>
    <w:link w:val="54"/>
    <w:unhideWhenUsed/>
    <w:qFormat/>
    <w:uiPriority w:val="99"/>
    <w:pPr>
      <w:tabs>
        <w:tab w:val="center" w:pos="4153"/>
        <w:tab w:val="right" w:pos="8306"/>
      </w:tabs>
      <w:snapToGrid w:val="0"/>
      <w:spacing w:line="240" w:lineRule="auto"/>
      <w:jc w:val="left"/>
    </w:pPr>
    <w:rPr>
      <w:sz w:val="18"/>
      <w:szCs w:val="18"/>
    </w:rPr>
  </w:style>
  <w:style w:type="paragraph" w:styleId="27">
    <w:name w:val="header"/>
    <w:basedOn w:val="1"/>
    <w:link w:val="53"/>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8">
    <w:name w:val="toc 1"/>
    <w:basedOn w:val="1"/>
    <w:next w:val="1"/>
    <w:unhideWhenUsed/>
    <w:qFormat/>
    <w:uiPriority w:val="39"/>
    <w:pPr>
      <w:tabs>
        <w:tab w:val="left" w:pos="420"/>
        <w:tab w:val="right" w:leader="dot" w:pos="8920"/>
      </w:tabs>
      <w:spacing w:before="120" w:after="120"/>
      <w:jc w:val="left"/>
    </w:pPr>
    <w:rPr>
      <w:rFonts w:ascii="Cambria" w:hAnsi="Cambria" w:eastAsia="宋体" w:cs="Calibri"/>
      <w:bCs/>
      <w:caps/>
      <w:szCs w:val="24"/>
    </w:rPr>
  </w:style>
  <w:style w:type="paragraph" w:styleId="29">
    <w:name w:val="toc 4"/>
    <w:basedOn w:val="1"/>
    <w:next w:val="1"/>
    <w:unhideWhenUsed/>
    <w:qFormat/>
    <w:uiPriority w:val="39"/>
    <w:pPr>
      <w:tabs>
        <w:tab w:val="left" w:pos="1470"/>
        <w:tab w:val="right" w:leader="dot" w:pos="8920"/>
      </w:tabs>
      <w:spacing w:line="240" w:lineRule="auto"/>
      <w:ind w:left="630"/>
      <w:jc w:val="left"/>
    </w:pPr>
    <w:rPr>
      <w:rFonts w:ascii="Calibri" w:hAnsi="Calibri" w:eastAsia="宋体" w:cs="Arial"/>
      <w:sz w:val="18"/>
      <w:szCs w:val="18"/>
    </w:rPr>
  </w:style>
  <w:style w:type="paragraph" w:styleId="30">
    <w:name w:val="Subtitle"/>
    <w:basedOn w:val="1"/>
    <w:link w:val="183"/>
    <w:qFormat/>
    <w:uiPriority w:val="11"/>
    <w:pPr>
      <w:spacing w:before="240" w:after="60" w:line="312" w:lineRule="auto"/>
      <w:jc w:val="center"/>
      <w:outlineLvl w:val="1"/>
    </w:pPr>
    <w:rPr>
      <w:rFonts w:ascii="Arial" w:hAnsi="Arial" w:eastAsia="宋体" w:cs="Arial"/>
      <w:b/>
      <w:bCs/>
      <w:kern w:val="28"/>
      <w:sz w:val="32"/>
      <w:szCs w:val="32"/>
    </w:rPr>
  </w:style>
  <w:style w:type="paragraph" w:styleId="31">
    <w:name w:val="toc 6"/>
    <w:basedOn w:val="1"/>
    <w:next w:val="1"/>
    <w:qFormat/>
    <w:uiPriority w:val="39"/>
    <w:pPr>
      <w:spacing w:line="240" w:lineRule="auto"/>
      <w:ind w:left="1050"/>
      <w:jc w:val="left"/>
    </w:pPr>
    <w:rPr>
      <w:rFonts w:ascii="Calibri" w:hAnsi="Calibri" w:eastAsia="宋体" w:cs="Calibri"/>
      <w:sz w:val="18"/>
      <w:szCs w:val="18"/>
    </w:rPr>
  </w:style>
  <w:style w:type="paragraph" w:styleId="32">
    <w:name w:val="Body Text Indent 3"/>
    <w:basedOn w:val="1"/>
    <w:link w:val="89"/>
    <w:qFormat/>
    <w:uiPriority w:val="0"/>
    <w:pPr>
      <w:autoSpaceDE w:val="0"/>
      <w:autoSpaceDN w:val="0"/>
      <w:adjustRightInd w:val="0"/>
      <w:spacing w:beforeLines="50" w:line="300" w:lineRule="auto"/>
      <w:ind w:firstLine="510"/>
      <w:jc w:val="left"/>
    </w:pPr>
    <w:rPr>
      <w:rFonts w:ascii="宋体" w:hAnsi="Times New Roman" w:eastAsia="宋体" w:cs="Times New Roman"/>
      <w:color w:val="000000"/>
      <w:kern w:val="0"/>
      <w:szCs w:val="24"/>
    </w:rPr>
  </w:style>
  <w:style w:type="paragraph" w:styleId="33">
    <w:name w:val="toc 2"/>
    <w:basedOn w:val="1"/>
    <w:next w:val="1"/>
    <w:unhideWhenUsed/>
    <w:qFormat/>
    <w:uiPriority w:val="39"/>
    <w:pPr>
      <w:spacing w:line="240" w:lineRule="auto"/>
      <w:ind w:left="210"/>
      <w:jc w:val="left"/>
    </w:pPr>
    <w:rPr>
      <w:rFonts w:ascii="Calibri" w:hAnsi="Calibri" w:eastAsia="宋体" w:cs="Calibri"/>
      <w:smallCaps/>
      <w:sz w:val="20"/>
      <w:szCs w:val="20"/>
    </w:rPr>
  </w:style>
  <w:style w:type="paragraph" w:styleId="34">
    <w:name w:val="toc 9"/>
    <w:basedOn w:val="1"/>
    <w:next w:val="1"/>
    <w:qFormat/>
    <w:uiPriority w:val="39"/>
    <w:pPr>
      <w:spacing w:line="240" w:lineRule="auto"/>
      <w:ind w:left="1680"/>
      <w:jc w:val="left"/>
    </w:pPr>
    <w:rPr>
      <w:rFonts w:ascii="Calibri" w:hAnsi="Calibri" w:eastAsia="宋体" w:cs="Calibri"/>
      <w:sz w:val="18"/>
      <w:szCs w:val="18"/>
    </w:rPr>
  </w:style>
  <w:style w:type="paragraph" w:styleId="35">
    <w:name w:val="Normal (Web)"/>
    <w:basedOn w:val="1"/>
    <w:qFormat/>
    <w:uiPriority w:val="0"/>
    <w:pPr>
      <w:widowControl/>
      <w:spacing w:before="100" w:beforeAutospacing="1" w:after="100" w:afterAutospacing="1" w:line="240" w:lineRule="auto"/>
      <w:jc w:val="left"/>
    </w:pPr>
    <w:rPr>
      <w:rFonts w:ascii="宋体" w:hAnsi="宋体" w:eastAsia="宋体" w:cs="宋体"/>
      <w:kern w:val="0"/>
      <w:szCs w:val="24"/>
    </w:rPr>
  </w:style>
  <w:style w:type="paragraph" w:styleId="36">
    <w:name w:val="annotation subject"/>
    <w:basedOn w:val="15"/>
    <w:next w:val="15"/>
    <w:link w:val="187"/>
    <w:qFormat/>
    <w:uiPriority w:val="0"/>
    <w:rPr>
      <w:b/>
      <w:bCs/>
    </w:rPr>
  </w:style>
  <w:style w:type="paragraph" w:styleId="37">
    <w:name w:val="Body Text First Indent"/>
    <w:basedOn w:val="17"/>
    <w:link w:val="185"/>
    <w:qFormat/>
    <w:uiPriority w:val="0"/>
    <w:pPr>
      <w:ind w:firstLine="420" w:firstLineChars="100"/>
    </w:pPr>
  </w:style>
  <w:style w:type="paragraph" w:styleId="38">
    <w:name w:val="Body Text First Indent 2"/>
    <w:basedOn w:val="18"/>
    <w:link w:val="64"/>
    <w:qFormat/>
    <w:uiPriority w:val="0"/>
    <w:pPr>
      <w:ind w:firstLine="420" w:firstLineChars="200"/>
    </w:pPr>
  </w:style>
  <w:style w:type="table" w:styleId="40">
    <w:name w:val="Table Grid"/>
    <w:basedOn w:val="39"/>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basedOn w:val="41"/>
    <w:qFormat/>
    <w:uiPriority w:val="0"/>
    <w:rPr>
      <w:b/>
      <w:bCs/>
    </w:rPr>
  </w:style>
  <w:style w:type="character" w:styleId="43">
    <w:name w:val="endnote reference"/>
    <w:semiHidden/>
    <w:qFormat/>
    <w:uiPriority w:val="0"/>
    <w:rPr>
      <w:sz w:val="20"/>
      <w:vertAlign w:val="superscript"/>
    </w:rPr>
  </w:style>
  <w:style w:type="character" w:styleId="44">
    <w:name w:val="page number"/>
    <w:qFormat/>
    <w:uiPriority w:val="0"/>
  </w:style>
  <w:style w:type="character" w:styleId="45">
    <w:name w:val="FollowedHyperlink"/>
    <w:basedOn w:val="41"/>
    <w:unhideWhenUsed/>
    <w:qFormat/>
    <w:uiPriority w:val="99"/>
    <w:rPr>
      <w:color w:val="800080"/>
      <w:u w:val="single"/>
    </w:rPr>
  </w:style>
  <w:style w:type="character" w:styleId="46">
    <w:name w:val="Hyperlink"/>
    <w:unhideWhenUsed/>
    <w:qFormat/>
    <w:uiPriority w:val="99"/>
    <w:rPr>
      <w:color w:val="0000FF"/>
      <w:u w:val="single"/>
    </w:rPr>
  </w:style>
  <w:style w:type="character" w:styleId="47">
    <w:name w:val="annotation reference"/>
    <w:basedOn w:val="41"/>
    <w:qFormat/>
    <w:uiPriority w:val="0"/>
    <w:rPr>
      <w:sz w:val="21"/>
      <w:szCs w:val="21"/>
    </w:rPr>
  </w:style>
  <w:style w:type="character" w:customStyle="1" w:styleId="48">
    <w:name w:val="标题 1 字符"/>
    <w:basedOn w:val="41"/>
    <w:link w:val="2"/>
    <w:qFormat/>
    <w:uiPriority w:val="0"/>
    <w:rPr>
      <w:rFonts w:ascii="Times New Roman" w:hAnsi="Times New Roman" w:eastAsia="宋体" w:cs="Times New Roman"/>
      <w:b/>
      <w:bCs/>
      <w:kern w:val="44"/>
      <w:sz w:val="32"/>
      <w:szCs w:val="44"/>
    </w:rPr>
  </w:style>
  <w:style w:type="character" w:customStyle="1" w:styleId="49">
    <w:name w:val="标题 2 字符"/>
    <w:basedOn w:val="41"/>
    <w:link w:val="3"/>
    <w:qFormat/>
    <w:uiPriority w:val="0"/>
    <w:rPr>
      <w:rFonts w:asciiTheme="majorHAnsi" w:hAnsiTheme="majorHAnsi" w:eastAsiaTheme="majorEastAsia" w:cstheme="majorBidi"/>
      <w:b/>
      <w:bCs/>
      <w:sz w:val="30"/>
      <w:szCs w:val="32"/>
    </w:rPr>
  </w:style>
  <w:style w:type="character" w:customStyle="1" w:styleId="50">
    <w:name w:val="标题 3 字符"/>
    <w:basedOn w:val="41"/>
    <w:link w:val="4"/>
    <w:qFormat/>
    <w:uiPriority w:val="0"/>
    <w:rPr>
      <w:rFonts w:ascii="Times New Roman" w:hAnsi="Times New Roman" w:eastAsia="宋体" w:cs="Times New Roman"/>
      <w:b/>
      <w:bCs/>
      <w:sz w:val="28"/>
      <w:szCs w:val="32"/>
    </w:rPr>
  </w:style>
  <w:style w:type="character" w:customStyle="1" w:styleId="51">
    <w:name w:val="标题 4 字符"/>
    <w:basedOn w:val="41"/>
    <w:link w:val="5"/>
    <w:qFormat/>
    <w:uiPriority w:val="0"/>
    <w:rPr>
      <w:rFonts w:asciiTheme="majorHAnsi" w:hAnsiTheme="majorHAnsi" w:eastAsiaTheme="majorEastAsia" w:cstheme="majorBidi"/>
      <w:b/>
      <w:bCs/>
      <w:sz w:val="24"/>
      <w:szCs w:val="28"/>
    </w:rPr>
  </w:style>
  <w:style w:type="character" w:customStyle="1" w:styleId="52">
    <w:name w:val="标题 5 字符"/>
    <w:basedOn w:val="41"/>
    <w:link w:val="6"/>
    <w:qFormat/>
    <w:uiPriority w:val="0"/>
    <w:rPr>
      <w:rFonts w:ascii="Times New Roman" w:hAnsi="Times New Roman" w:eastAsia="宋体" w:cs="Times New Roman"/>
      <w:bCs/>
      <w:sz w:val="24"/>
      <w:szCs w:val="28"/>
    </w:rPr>
  </w:style>
  <w:style w:type="character" w:customStyle="1" w:styleId="53">
    <w:name w:val="页眉 字符"/>
    <w:basedOn w:val="41"/>
    <w:link w:val="27"/>
    <w:qFormat/>
    <w:uiPriority w:val="99"/>
    <w:rPr>
      <w:sz w:val="18"/>
      <w:szCs w:val="18"/>
    </w:rPr>
  </w:style>
  <w:style w:type="character" w:customStyle="1" w:styleId="54">
    <w:name w:val="页脚 字符"/>
    <w:basedOn w:val="41"/>
    <w:link w:val="26"/>
    <w:qFormat/>
    <w:uiPriority w:val="99"/>
    <w:rPr>
      <w:sz w:val="18"/>
      <w:szCs w:val="18"/>
    </w:rPr>
  </w:style>
  <w:style w:type="character" w:customStyle="1" w:styleId="55">
    <w:name w:val="标题 6 字符"/>
    <w:basedOn w:val="41"/>
    <w:link w:val="7"/>
    <w:qFormat/>
    <w:uiPriority w:val="0"/>
    <w:rPr>
      <w:rFonts w:asciiTheme="majorHAnsi" w:hAnsiTheme="majorHAnsi" w:eastAsiaTheme="majorEastAsia" w:cstheme="majorBidi"/>
      <w:b/>
      <w:bCs/>
      <w:sz w:val="24"/>
      <w:szCs w:val="24"/>
    </w:rPr>
  </w:style>
  <w:style w:type="character" w:customStyle="1" w:styleId="56">
    <w:name w:val="标题 7 字符"/>
    <w:basedOn w:val="41"/>
    <w:link w:val="8"/>
    <w:qFormat/>
    <w:uiPriority w:val="0"/>
    <w:rPr>
      <w:rFonts w:ascii="宋体" w:hAnsi="宋体" w:eastAsia="宋体" w:cs="宋体"/>
      <w:kern w:val="0"/>
      <w:sz w:val="24"/>
      <w:szCs w:val="24"/>
      <w:lang w:eastAsia="en-US"/>
    </w:rPr>
  </w:style>
  <w:style w:type="character" w:customStyle="1" w:styleId="57">
    <w:name w:val="标题 8 字符"/>
    <w:basedOn w:val="41"/>
    <w:link w:val="9"/>
    <w:qFormat/>
    <w:uiPriority w:val="0"/>
    <w:rPr>
      <w:rFonts w:asciiTheme="majorHAnsi" w:hAnsiTheme="majorHAnsi" w:eastAsiaTheme="majorEastAsia" w:cstheme="majorBidi"/>
      <w:sz w:val="24"/>
      <w:szCs w:val="24"/>
    </w:rPr>
  </w:style>
  <w:style w:type="character" w:customStyle="1" w:styleId="58">
    <w:name w:val="标题 9 字符"/>
    <w:basedOn w:val="41"/>
    <w:link w:val="10"/>
    <w:qFormat/>
    <w:uiPriority w:val="0"/>
    <w:rPr>
      <w:rFonts w:ascii="Cambria" w:hAnsi="Cambria" w:eastAsia="宋体" w:cs="Times New Roman"/>
      <w:szCs w:val="21"/>
    </w:rPr>
  </w:style>
  <w:style w:type="character" w:customStyle="1" w:styleId="59">
    <w:name w:val="批注框文本 字符"/>
    <w:basedOn w:val="41"/>
    <w:link w:val="25"/>
    <w:semiHidden/>
    <w:qFormat/>
    <w:uiPriority w:val="99"/>
    <w:rPr>
      <w:sz w:val="18"/>
      <w:szCs w:val="18"/>
    </w:rPr>
  </w:style>
  <w:style w:type="character" w:customStyle="1" w:styleId="60">
    <w:name w:val="副标题 Char1"/>
    <w:basedOn w:val="41"/>
    <w:qFormat/>
    <w:uiPriority w:val="11"/>
    <w:rPr>
      <w:rFonts w:eastAsia="宋体" w:asciiTheme="majorHAnsi" w:hAnsiTheme="majorHAnsi" w:cstheme="majorBidi"/>
      <w:b/>
      <w:bCs/>
      <w:kern w:val="28"/>
      <w:sz w:val="32"/>
      <w:szCs w:val="32"/>
    </w:rPr>
  </w:style>
  <w:style w:type="paragraph" w:styleId="61">
    <w:name w:val="List Paragraph"/>
    <w:basedOn w:val="1"/>
    <w:link w:val="62"/>
    <w:qFormat/>
    <w:uiPriority w:val="34"/>
    <w:pPr>
      <w:ind w:firstLine="420" w:firstLineChars="200"/>
    </w:pPr>
  </w:style>
  <w:style w:type="character" w:customStyle="1" w:styleId="62">
    <w:name w:val="列表段落 字符"/>
    <w:link w:val="61"/>
    <w:qFormat/>
    <w:uiPriority w:val="34"/>
    <w:rPr>
      <w:sz w:val="24"/>
    </w:rPr>
  </w:style>
  <w:style w:type="character" w:customStyle="1" w:styleId="63">
    <w:name w:val="正文文本缩进 字符"/>
    <w:basedOn w:val="41"/>
    <w:link w:val="18"/>
    <w:qFormat/>
    <w:uiPriority w:val="0"/>
    <w:rPr>
      <w:rFonts w:ascii="Times New Roman" w:hAnsi="Times New Roman" w:eastAsia="宋体" w:cs="Times New Roman"/>
      <w:szCs w:val="24"/>
    </w:rPr>
  </w:style>
  <w:style w:type="character" w:customStyle="1" w:styleId="64">
    <w:name w:val="正文文本首行缩进 2 字符"/>
    <w:basedOn w:val="63"/>
    <w:link w:val="38"/>
    <w:qFormat/>
    <w:uiPriority w:val="0"/>
    <w:rPr>
      <w:rFonts w:ascii="Times New Roman" w:hAnsi="Times New Roman" w:eastAsia="宋体" w:cs="Times New Roman"/>
      <w:szCs w:val="24"/>
    </w:rPr>
  </w:style>
  <w:style w:type="character" w:customStyle="1" w:styleId="65">
    <w:name w:val="文档结构图 字符"/>
    <w:basedOn w:val="41"/>
    <w:link w:val="14"/>
    <w:semiHidden/>
    <w:qFormat/>
    <w:uiPriority w:val="0"/>
    <w:rPr>
      <w:rFonts w:ascii="Times New Roman" w:hAnsi="Times New Roman" w:eastAsia="宋体" w:cs="Times New Roman"/>
      <w:szCs w:val="24"/>
      <w:shd w:val="clear" w:color="auto" w:fill="000080"/>
    </w:rPr>
  </w:style>
  <w:style w:type="character" w:customStyle="1" w:styleId="66">
    <w:name w:val="正文缩进 字符"/>
    <w:link w:val="13"/>
    <w:qFormat/>
    <w:uiPriority w:val="0"/>
    <w:rPr>
      <w:rFonts w:ascii="Times New Roman" w:hAnsi="Times New Roman" w:eastAsia="宋体" w:cs="Times New Roman"/>
      <w:szCs w:val="24"/>
    </w:rPr>
  </w:style>
  <w:style w:type="paragraph" w:customStyle="1" w:styleId="67">
    <w:name w:val="Default"/>
    <w:qFormat/>
    <w:uiPriority w:val="0"/>
    <w:pPr>
      <w:widowControl w:val="0"/>
      <w:autoSpaceDE w:val="0"/>
      <w:autoSpaceDN w:val="0"/>
      <w:adjustRightInd w:val="0"/>
    </w:pPr>
    <w:rPr>
      <w:rFonts w:ascii="Denshan CSEG" w:hAnsi="Times New Roman" w:eastAsia="Denshan CSEG" w:cs="Denshan CSEG"/>
      <w:color w:val="000000"/>
      <w:sz w:val="24"/>
      <w:szCs w:val="24"/>
      <w:lang w:val="en-US" w:eastAsia="zh-CN" w:bidi="ar-SA"/>
    </w:rPr>
  </w:style>
  <w:style w:type="paragraph" w:customStyle="1" w:styleId="68">
    <w:name w:val="Char Char1 Char Char Char Char Char Char Char Char Char Char Char Char Char Char Char Char Char Char Char Char Char Char Char Char Char Char Char"/>
    <w:basedOn w:val="1"/>
    <w:qFormat/>
    <w:uiPriority w:val="0"/>
    <w:pPr>
      <w:widowControl/>
      <w:jc w:val="left"/>
    </w:pPr>
    <w:rPr>
      <w:rFonts w:ascii="Verdana" w:hAnsi="Verdana" w:eastAsia="宋体" w:cs="Times New Roman"/>
      <w:kern w:val="0"/>
      <w:sz w:val="20"/>
      <w:szCs w:val="20"/>
      <w:lang w:eastAsia="en-US"/>
    </w:rPr>
  </w:style>
  <w:style w:type="paragraph" w:customStyle="1" w:styleId="69">
    <w:name w:val="z1"/>
    <w:basedOn w:val="1"/>
    <w:qFormat/>
    <w:uiPriority w:val="0"/>
    <w:pPr>
      <w:widowControl/>
      <w:wordWrap w:val="0"/>
      <w:adjustRightInd w:val="0"/>
      <w:snapToGrid w:val="0"/>
      <w:spacing w:beforeLines="50" w:afterLines="50" w:line="300" w:lineRule="auto"/>
      <w:ind w:left="359" w:leftChars="171" w:firstLine="480" w:firstLineChars="200"/>
    </w:pPr>
    <w:rPr>
      <w:rFonts w:ascii="Arial" w:hAnsi="Arial" w:eastAsia="宋体" w:cs="Times New Roman"/>
      <w:szCs w:val="21"/>
    </w:rPr>
  </w:style>
  <w:style w:type="character" w:customStyle="1" w:styleId="70">
    <w:name w:val="样式 二号 加粗"/>
    <w:qFormat/>
    <w:uiPriority w:val="0"/>
    <w:rPr>
      <w:b/>
      <w:bCs/>
      <w:sz w:val="48"/>
    </w:rPr>
  </w:style>
  <w:style w:type="character" w:customStyle="1" w:styleId="71">
    <w:name w:val="称呼 字符"/>
    <w:basedOn w:val="41"/>
    <w:link w:val="16"/>
    <w:qFormat/>
    <w:uiPriority w:val="0"/>
    <w:rPr>
      <w:rFonts w:ascii="Times New Roman" w:hAnsi="Times New Roman" w:eastAsia="宋体" w:cs="Times New Roman"/>
      <w:sz w:val="24"/>
      <w:szCs w:val="20"/>
    </w:rPr>
  </w:style>
  <w:style w:type="character" w:customStyle="1" w:styleId="72">
    <w:name w:val="正文文本 字符"/>
    <w:basedOn w:val="41"/>
    <w:link w:val="17"/>
    <w:qFormat/>
    <w:uiPriority w:val="0"/>
    <w:rPr>
      <w:rFonts w:ascii="Times New Roman" w:hAnsi="Times New Roman" w:eastAsia="宋体" w:cs="Times New Roman"/>
      <w:szCs w:val="24"/>
    </w:rPr>
  </w:style>
  <w:style w:type="paragraph" w:customStyle="1" w:styleId="73">
    <w:name w:val="正文 缩进1"/>
    <w:basedOn w:val="1"/>
    <w:link w:val="74"/>
    <w:qFormat/>
    <w:uiPriority w:val="0"/>
    <w:pPr>
      <w:ind w:firstLine="420"/>
    </w:pPr>
    <w:rPr>
      <w:rFonts w:ascii="Times New Roman" w:hAnsi="Times New Roman" w:eastAsia="宋体" w:cs="宋体"/>
      <w:szCs w:val="20"/>
    </w:rPr>
  </w:style>
  <w:style w:type="character" w:customStyle="1" w:styleId="74">
    <w:name w:val="正文 缩进1 Char"/>
    <w:link w:val="73"/>
    <w:qFormat/>
    <w:uiPriority w:val="0"/>
    <w:rPr>
      <w:rFonts w:ascii="Times New Roman" w:hAnsi="Times New Roman" w:eastAsia="宋体" w:cs="宋体"/>
      <w:sz w:val="24"/>
      <w:szCs w:val="20"/>
    </w:rPr>
  </w:style>
  <w:style w:type="character" w:customStyle="1" w:styleId="75">
    <w:name w:val="标题 3 Char1"/>
    <w:qFormat/>
    <w:uiPriority w:val="0"/>
    <w:rPr>
      <w:rFonts w:ascii="Calibri" w:hAnsi="Calibri" w:eastAsia="宋体" w:cs="Times New Roman"/>
      <w:b/>
      <w:bCs/>
      <w:sz w:val="32"/>
      <w:szCs w:val="32"/>
    </w:rPr>
  </w:style>
  <w:style w:type="paragraph" w:customStyle="1" w:styleId="76">
    <w:name w:val="TOC 标题1"/>
    <w:basedOn w:val="2"/>
    <w:next w:val="1"/>
    <w:qFormat/>
    <w:uiPriority w:val="39"/>
    <w:pPr>
      <w:widowControl/>
      <w:numPr>
        <w:numId w:val="3"/>
      </w:numPr>
      <w:spacing w:before="480" w:after="0" w:line="276" w:lineRule="auto"/>
      <w:jc w:val="left"/>
      <w:outlineLvl w:val="9"/>
    </w:pPr>
    <w:rPr>
      <w:rFonts w:ascii="Cambria" w:hAnsi="Cambria"/>
      <w:color w:val="365F91"/>
      <w:kern w:val="0"/>
      <w:sz w:val="28"/>
      <w:szCs w:val="28"/>
    </w:rPr>
  </w:style>
  <w:style w:type="paragraph" w:customStyle="1" w:styleId="77">
    <w:name w:val="Char"/>
    <w:basedOn w:val="1"/>
    <w:qFormat/>
    <w:uiPriority w:val="0"/>
    <w:pPr>
      <w:tabs>
        <w:tab w:val="left" w:pos="425"/>
      </w:tabs>
      <w:spacing w:line="240" w:lineRule="auto"/>
      <w:ind w:left="425" w:hanging="425"/>
    </w:pPr>
    <w:rPr>
      <w:rFonts w:ascii="Times New Roman" w:hAnsi="Times New Roman" w:eastAsia="宋体" w:cs="Times New Roman"/>
      <w:szCs w:val="24"/>
    </w:rPr>
  </w:style>
  <w:style w:type="character" w:customStyle="1" w:styleId="78">
    <w:name w:val="纯文本 字符"/>
    <w:basedOn w:val="41"/>
    <w:link w:val="21"/>
    <w:qFormat/>
    <w:uiPriority w:val="0"/>
    <w:rPr>
      <w:rFonts w:ascii="宋体" w:hAnsi="Courier New" w:eastAsia="宋体" w:cs="Courier New"/>
      <w:kern w:val="0"/>
      <w:szCs w:val="21"/>
      <w:lang w:val="en-GB"/>
    </w:rPr>
  </w:style>
  <w:style w:type="character" w:customStyle="1" w:styleId="79">
    <w:name w:val="apple-style-span"/>
    <w:basedOn w:val="41"/>
    <w:qFormat/>
    <w:uiPriority w:val="0"/>
  </w:style>
  <w:style w:type="paragraph" w:customStyle="1" w:styleId="80">
    <w:name w:val="Char1"/>
    <w:basedOn w:val="1"/>
    <w:qFormat/>
    <w:uiPriority w:val="0"/>
    <w:pPr>
      <w:tabs>
        <w:tab w:val="left" w:pos="425"/>
        <w:tab w:val="left" w:pos="900"/>
      </w:tabs>
      <w:spacing w:line="240" w:lineRule="auto"/>
      <w:ind w:left="900" w:hanging="420"/>
    </w:pPr>
    <w:rPr>
      <w:rFonts w:ascii="Times New Roman" w:hAnsi="Times New Roman" w:eastAsia="宋体" w:cs="Times New Roman"/>
      <w:szCs w:val="20"/>
    </w:rPr>
  </w:style>
  <w:style w:type="paragraph" w:customStyle="1" w:styleId="81">
    <w:name w:val="Table"/>
    <w:basedOn w:val="1"/>
    <w:qFormat/>
    <w:uiPriority w:val="0"/>
    <w:pPr>
      <w:widowControl/>
      <w:spacing w:before="40" w:after="40" w:line="240" w:lineRule="auto"/>
    </w:pPr>
    <w:rPr>
      <w:rFonts w:ascii="Arial" w:hAnsi="Arial" w:eastAsia="宋体" w:cs="Times New Roman"/>
      <w:kern w:val="0"/>
      <w:sz w:val="20"/>
      <w:szCs w:val="20"/>
    </w:rPr>
  </w:style>
  <w:style w:type="paragraph" w:customStyle="1" w:styleId="82">
    <w:name w:val="文档正文"/>
    <w:basedOn w:val="1"/>
    <w:link w:val="83"/>
    <w:qFormat/>
    <w:uiPriority w:val="0"/>
    <w:pPr>
      <w:adjustRightInd w:val="0"/>
      <w:spacing w:line="460" w:lineRule="exact"/>
      <w:ind w:firstLine="567"/>
      <w:textAlignment w:val="baseline"/>
    </w:pPr>
    <w:rPr>
      <w:rFonts w:ascii="Arial" w:hAnsi="Arial" w:eastAsia="宋体" w:cs="Times New Roman"/>
      <w:kern w:val="0"/>
      <w:szCs w:val="24"/>
    </w:rPr>
  </w:style>
  <w:style w:type="character" w:customStyle="1" w:styleId="83">
    <w:name w:val="文档正文 Char1"/>
    <w:link w:val="82"/>
    <w:qFormat/>
    <w:uiPriority w:val="0"/>
    <w:rPr>
      <w:rFonts w:ascii="Arial" w:hAnsi="Arial" w:eastAsia="宋体" w:cs="Times New Roman"/>
      <w:kern w:val="0"/>
      <w:sz w:val="24"/>
      <w:szCs w:val="24"/>
    </w:rPr>
  </w:style>
  <w:style w:type="paragraph" w:customStyle="1" w:styleId="84">
    <w:name w:val="Char Char1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85">
    <w:name w:val="Header 2"/>
    <w:basedOn w:val="1"/>
    <w:next w:val="1"/>
    <w:qFormat/>
    <w:uiPriority w:val="0"/>
    <w:pPr>
      <w:keepLines/>
      <w:widowControl/>
      <w:spacing w:before="80" w:after="80" w:line="240" w:lineRule="auto"/>
      <w:jc w:val="right"/>
    </w:pPr>
    <w:rPr>
      <w:rFonts w:ascii="Arial" w:hAnsi="Arial" w:eastAsia="宋体" w:cs="Times New Roman"/>
      <w:kern w:val="0"/>
      <w:sz w:val="20"/>
      <w:szCs w:val="20"/>
    </w:rPr>
  </w:style>
  <w:style w:type="character" w:customStyle="1" w:styleId="86">
    <w:name w:val="纯文本 Char"/>
    <w:qFormat/>
    <w:locked/>
    <w:uiPriority w:val="0"/>
    <w:rPr>
      <w:rFonts w:ascii="Courier New" w:hAnsi="Courier New"/>
      <w:lang w:val="en-US" w:eastAsia="en-US" w:bidi="ar-SA"/>
    </w:rPr>
  </w:style>
  <w:style w:type="paragraph" w:customStyle="1" w:styleId="87">
    <w:name w:val="flName"/>
    <w:basedOn w:val="1"/>
    <w:qFormat/>
    <w:uiPriority w:val="0"/>
    <w:pPr>
      <w:adjustRightInd w:val="0"/>
      <w:spacing w:before="320" w:after="160" w:line="360" w:lineRule="atLeast"/>
      <w:jc w:val="center"/>
      <w:textAlignment w:val="baseline"/>
    </w:pPr>
    <w:rPr>
      <w:rFonts w:ascii="Arial" w:hAnsi="Times New Roman" w:eastAsia="黑体" w:cs="Times New Roman"/>
      <w:kern w:val="0"/>
      <w:sz w:val="32"/>
      <w:szCs w:val="20"/>
    </w:rPr>
  </w:style>
  <w:style w:type="character" w:customStyle="1" w:styleId="88">
    <w:name w:val="Char Char9"/>
    <w:qFormat/>
    <w:uiPriority w:val="0"/>
    <w:rPr>
      <w:rFonts w:ascii="Courier New" w:hAnsi="Courier New" w:eastAsia="Times New Roman" w:cs="Times New Roman"/>
      <w:kern w:val="0"/>
      <w:sz w:val="20"/>
      <w:szCs w:val="20"/>
      <w:lang w:eastAsia="en-US"/>
    </w:rPr>
  </w:style>
  <w:style w:type="character" w:customStyle="1" w:styleId="89">
    <w:name w:val="正文文本缩进 3 字符"/>
    <w:basedOn w:val="41"/>
    <w:link w:val="32"/>
    <w:qFormat/>
    <w:uiPriority w:val="0"/>
    <w:rPr>
      <w:rFonts w:ascii="宋体" w:hAnsi="Times New Roman" w:eastAsia="宋体" w:cs="Times New Roman"/>
      <w:color w:val="000000"/>
      <w:kern w:val="0"/>
      <w:sz w:val="24"/>
      <w:szCs w:val="24"/>
    </w:rPr>
  </w:style>
  <w:style w:type="paragraph" w:customStyle="1" w:styleId="90">
    <w:name w:val="TitlePage_Header"/>
    <w:basedOn w:val="1"/>
    <w:qFormat/>
    <w:uiPriority w:val="0"/>
    <w:pPr>
      <w:widowControl/>
      <w:spacing w:before="240" w:after="240" w:line="240" w:lineRule="auto"/>
      <w:ind w:left="3240"/>
    </w:pPr>
    <w:rPr>
      <w:rFonts w:ascii="Arial" w:hAnsi="Arial" w:eastAsia="宋体" w:cs="Times New Roman"/>
      <w:b/>
      <w:kern w:val="0"/>
      <w:sz w:val="32"/>
      <w:szCs w:val="20"/>
    </w:rPr>
  </w:style>
  <w:style w:type="paragraph" w:customStyle="1" w:styleId="91">
    <w:name w:val="Table_Small"/>
    <w:basedOn w:val="81"/>
    <w:qFormat/>
    <w:uiPriority w:val="0"/>
    <w:rPr>
      <w:sz w:val="16"/>
    </w:rPr>
  </w:style>
  <w:style w:type="character" w:customStyle="1" w:styleId="92">
    <w:name w:val="Character UserEntry"/>
    <w:qFormat/>
    <w:uiPriority w:val="0"/>
    <w:rPr>
      <w:color w:val="FF0000"/>
    </w:rPr>
  </w:style>
  <w:style w:type="character" w:customStyle="1" w:styleId="93">
    <w:name w:val="访问过的超链接1"/>
    <w:qFormat/>
    <w:uiPriority w:val="0"/>
    <w:rPr>
      <w:color w:val="800080"/>
      <w:u w:val="single"/>
    </w:rPr>
  </w:style>
  <w:style w:type="paragraph" w:customStyle="1" w:styleId="94">
    <w:name w:val="font0"/>
    <w:basedOn w:val="1"/>
    <w:qFormat/>
    <w:uiPriority w:val="0"/>
    <w:pPr>
      <w:widowControl/>
      <w:spacing w:before="100" w:beforeAutospacing="1" w:after="100" w:afterAutospacing="1" w:line="240" w:lineRule="auto"/>
      <w:jc w:val="left"/>
    </w:pPr>
    <w:rPr>
      <w:rFonts w:ascii="宋体" w:hAnsi="宋体" w:eastAsia="宋体" w:cs="宋体"/>
      <w:kern w:val="0"/>
      <w:szCs w:val="24"/>
    </w:rPr>
  </w:style>
  <w:style w:type="paragraph" w:customStyle="1" w:styleId="95">
    <w:name w:val="font5"/>
    <w:basedOn w:val="1"/>
    <w:qFormat/>
    <w:uiPriority w:val="0"/>
    <w:pPr>
      <w:widowControl/>
      <w:spacing w:before="100" w:beforeAutospacing="1" w:after="100" w:afterAutospacing="1" w:line="240" w:lineRule="auto"/>
      <w:jc w:val="left"/>
    </w:pPr>
    <w:rPr>
      <w:rFonts w:ascii="宋体" w:hAnsi="宋体" w:eastAsia="宋体" w:cs="宋体"/>
      <w:kern w:val="0"/>
      <w:sz w:val="18"/>
      <w:szCs w:val="18"/>
    </w:rPr>
  </w:style>
  <w:style w:type="paragraph" w:customStyle="1" w:styleId="96">
    <w:name w:val="font6"/>
    <w:basedOn w:val="1"/>
    <w:qFormat/>
    <w:uiPriority w:val="0"/>
    <w:pPr>
      <w:widowControl/>
      <w:spacing w:before="100" w:beforeAutospacing="1" w:after="100" w:afterAutospacing="1" w:line="240" w:lineRule="auto"/>
      <w:jc w:val="left"/>
    </w:pPr>
    <w:rPr>
      <w:rFonts w:ascii="宋体" w:hAnsi="宋体" w:eastAsia="宋体" w:cs="宋体"/>
      <w:kern w:val="0"/>
      <w:szCs w:val="24"/>
    </w:rPr>
  </w:style>
  <w:style w:type="paragraph" w:customStyle="1" w:styleId="97">
    <w:name w:val="font7"/>
    <w:basedOn w:val="1"/>
    <w:qFormat/>
    <w:uiPriority w:val="0"/>
    <w:pPr>
      <w:widowControl/>
      <w:spacing w:before="100" w:beforeAutospacing="1" w:after="100" w:afterAutospacing="1" w:line="240" w:lineRule="auto"/>
      <w:jc w:val="left"/>
    </w:pPr>
    <w:rPr>
      <w:rFonts w:ascii="Calibri" w:hAnsi="Calibri" w:eastAsia="宋体" w:cs="宋体"/>
      <w:kern w:val="0"/>
      <w:sz w:val="18"/>
      <w:szCs w:val="18"/>
    </w:rPr>
  </w:style>
  <w:style w:type="paragraph" w:customStyle="1" w:styleId="98">
    <w:name w:val="font8"/>
    <w:basedOn w:val="1"/>
    <w:qFormat/>
    <w:uiPriority w:val="0"/>
    <w:pPr>
      <w:widowControl/>
      <w:spacing w:before="100" w:beforeAutospacing="1" w:after="100" w:afterAutospacing="1" w:line="240" w:lineRule="auto"/>
      <w:jc w:val="left"/>
    </w:pPr>
    <w:rPr>
      <w:rFonts w:ascii="宋体" w:hAnsi="宋体" w:eastAsia="宋体" w:cs="宋体"/>
      <w:kern w:val="0"/>
      <w:sz w:val="20"/>
      <w:szCs w:val="20"/>
    </w:rPr>
  </w:style>
  <w:style w:type="paragraph" w:customStyle="1" w:styleId="99">
    <w:name w:val="font9"/>
    <w:basedOn w:val="1"/>
    <w:qFormat/>
    <w:uiPriority w:val="0"/>
    <w:pPr>
      <w:widowControl/>
      <w:spacing w:before="100" w:beforeAutospacing="1" w:after="100" w:afterAutospacing="1" w:line="240" w:lineRule="auto"/>
      <w:jc w:val="left"/>
    </w:pPr>
    <w:rPr>
      <w:rFonts w:ascii="Times New Roman" w:hAnsi="Times New Roman" w:eastAsia="宋体" w:cs="Times New Roman"/>
      <w:kern w:val="0"/>
      <w:sz w:val="16"/>
      <w:szCs w:val="16"/>
    </w:rPr>
  </w:style>
  <w:style w:type="paragraph" w:customStyle="1" w:styleId="100">
    <w:name w:val="font10"/>
    <w:basedOn w:val="1"/>
    <w:qFormat/>
    <w:uiPriority w:val="0"/>
    <w:pPr>
      <w:widowControl/>
      <w:spacing w:before="100" w:beforeAutospacing="1" w:after="100" w:afterAutospacing="1" w:line="240" w:lineRule="auto"/>
      <w:jc w:val="left"/>
    </w:pPr>
    <w:rPr>
      <w:rFonts w:ascii="Times New Roman" w:hAnsi="Times New Roman" w:eastAsia="宋体" w:cs="Times New Roman"/>
      <w:kern w:val="0"/>
      <w:sz w:val="20"/>
      <w:szCs w:val="20"/>
    </w:rPr>
  </w:style>
  <w:style w:type="paragraph" w:customStyle="1" w:styleId="101">
    <w:name w:val="font11"/>
    <w:basedOn w:val="1"/>
    <w:qFormat/>
    <w:uiPriority w:val="0"/>
    <w:pPr>
      <w:widowControl/>
      <w:spacing w:before="100" w:beforeAutospacing="1" w:after="100" w:afterAutospacing="1" w:line="240" w:lineRule="auto"/>
      <w:jc w:val="left"/>
    </w:pPr>
    <w:rPr>
      <w:rFonts w:ascii="宋体" w:hAnsi="宋体" w:eastAsia="宋体" w:cs="宋体"/>
      <w:kern w:val="0"/>
      <w:sz w:val="16"/>
      <w:szCs w:val="16"/>
    </w:rPr>
  </w:style>
  <w:style w:type="paragraph" w:customStyle="1" w:styleId="102">
    <w:name w:val="font12"/>
    <w:basedOn w:val="1"/>
    <w:qFormat/>
    <w:uiPriority w:val="0"/>
    <w:pPr>
      <w:widowControl/>
      <w:spacing w:before="100" w:beforeAutospacing="1" w:after="100" w:afterAutospacing="1" w:line="240" w:lineRule="auto"/>
      <w:jc w:val="left"/>
    </w:pPr>
    <w:rPr>
      <w:rFonts w:ascii="宋体" w:hAnsi="宋体" w:eastAsia="宋体" w:cs="宋体"/>
      <w:b/>
      <w:bCs/>
      <w:color w:val="000000"/>
      <w:kern w:val="0"/>
      <w:sz w:val="18"/>
      <w:szCs w:val="18"/>
    </w:rPr>
  </w:style>
  <w:style w:type="paragraph" w:customStyle="1" w:styleId="103">
    <w:name w:val="font13"/>
    <w:basedOn w:val="1"/>
    <w:qFormat/>
    <w:uiPriority w:val="0"/>
    <w:pPr>
      <w:widowControl/>
      <w:spacing w:before="100" w:beforeAutospacing="1" w:after="100" w:afterAutospacing="1" w:line="240" w:lineRule="auto"/>
      <w:jc w:val="left"/>
    </w:pPr>
    <w:rPr>
      <w:rFonts w:ascii="宋体" w:hAnsi="宋体" w:eastAsia="宋体" w:cs="宋体"/>
      <w:color w:val="000000"/>
      <w:kern w:val="0"/>
      <w:sz w:val="18"/>
      <w:szCs w:val="18"/>
    </w:rPr>
  </w:style>
  <w:style w:type="paragraph" w:customStyle="1" w:styleId="104">
    <w:name w:val="font14"/>
    <w:basedOn w:val="1"/>
    <w:qFormat/>
    <w:uiPriority w:val="0"/>
    <w:pPr>
      <w:widowControl/>
      <w:spacing w:before="100" w:beforeAutospacing="1" w:after="100" w:afterAutospacing="1" w:line="240" w:lineRule="auto"/>
      <w:jc w:val="left"/>
    </w:pPr>
    <w:rPr>
      <w:rFonts w:ascii="Times New Roman" w:hAnsi="Times New Roman" w:eastAsia="宋体" w:cs="Times New Roman"/>
      <w:kern w:val="0"/>
      <w:sz w:val="21"/>
      <w:szCs w:val="21"/>
    </w:rPr>
  </w:style>
  <w:style w:type="paragraph" w:customStyle="1" w:styleId="10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0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0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0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0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1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1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1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1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ascii="宋体" w:hAnsi="宋体" w:eastAsia="宋体" w:cs="宋体"/>
      <w:kern w:val="0"/>
      <w:sz w:val="20"/>
      <w:szCs w:val="20"/>
    </w:rPr>
  </w:style>
  <w:style w:type="paragraph" w:customStyle="1" w:styleId="11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1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16">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1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1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19">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20">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2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22">
    <w:name w:val="xl8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23">
    <w:name w:val="xl8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24">
    <w:name w:val="xl8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25">
    <w:name w:val="xl8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26">
    <w:name w:val="xl9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27">
    <w:name w:val="xl91"/>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28">
    <w:name w:val="xl92"/>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2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30">
    <w:name w:val="xl9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3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4">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5">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3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8">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39">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4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top"/>
    </w:pPr>
    <w:rPr>
      <w:rFonts w:ascii="宋体" w:hAnsi="宋体" w:eastAsia="宋体" w:cs="宋体"/>
      <w:kern w:val="0"/>
      <w:sz w:val="20"/>
      <w:szCs w:val="20"/>
    </w:rPr>
  </w:style>
  <w:style w:type="paragraph" w:customStyle="1" w:styleId="141">
    <w:name w:val="xl105"/>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42">
    <w:name w:val="xl10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43">
    <w:name w:val="xl10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44">
    <w:name w:val="xl10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45">
    <w:name w:val="xl10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0"/>
      <w:szCs w:val="20"/>
    </w:rPr>
  </w:style>
  <w:style w:type="paragraph" w:customStyle="1" w:styleId="146">
    <w:name w:val="xl11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47">
    <w:name w:val="xl111"/>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pPr>
    <w:rPr>
      <w:rFonts w:ascii="宋体" w:hAnsi="宋体" w:eastAsia="宋体" w:cs="宋体"/>
      <w:kern w:val="0"/>
      <w:sz w:val="20"/>
      <w:szCs w:val="20"/>
    </w:rPr>
  </w:style>
  <w:style w:type="paragraph" w:customStyle="1" w:styleId="148">
    <w:name w:val="xl11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0"/>
      <w:szCs w:val="20"/>
    </w:rPr>
  </w:style>
  <w:style w:type="paragraph" w:customStyle="1" w:styleId="14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b/>
      <w:bCs/>
      <w:kern w:val="0"/>
      <w:sz w:val="18"/>
      <w:szCs w:val="18"/>
    </w:rPr>
  </w:style>
  <w:style w:type="paragraph" w:customStyle="1" w:styleId="15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b/>
      <w:bCs/>
      <w:kern w:val="0"/>
      <w:sz w:val="18"/>
      <w:szCs w:val="18"/>
    </w:rPr>
  </w:style>
  <w:style w:type="paragraph" w:customStyle="1" w:styleId="15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b/>
      <w:bCs/>
      <w:kern w:val="0"/>
      <w:sz w:val="18"/>
      <w:szCs w:val="18"/>
    </w:rPr>
  </w:style>
  <w:style w:type="paragraph" w:customStyle="1" w:styleId="15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宋体" w:cs="Times New Roman"/>
      <w:kern w:val="0"/>
      <w:sz w:val="18"/>
      <w:szCs w:val="18"/>
    </w:rPr>
  </w:style>
  <w:style w:type="paragraph" w:customStyle="1" w:styleId="15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5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5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仿宋_GB2312" w:hAnsi="宋体" w:eastAsia="仿宋_GB2312" w:cs="宋体"/>
      <w:kern w:val="0"/>
      <w:sz w:val="18"/>
      <w:szCs w:val="18"/>
    </w:rPr>
  </w:style>
  <w:style w:type="paragraph" w:customStyle="1" w:styleId="15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黑体" w:hAnsi="宋体" w:eastAsia="黑体" w:cs="宋体"/>
      <w:kern w:val="0"/>
      <w:sz w:val="18"/>
      <w:szCs w:val="18"/>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5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宋体" w:cs="Times New Roman"/>
      <w:kern w:val="0"/>
      <w:sz w:val="18"/>
      <w:szCs w:val="18"/>
    </w:rPr>
  </w:style>
  <w:style w:type="paragraph" w:customStyle="1" w:styleId="159">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6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宋体" w:cs="Times New Roman"/>
      <w:kern w:val="0"/>
      <w:sz w:val="18"/>
      <w:szCs w:val="18"/>
    </w:rPr>
  </w:style>
  <w:style w:type="paragraph" w:customStyle="1" w:styleId="16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eastAsia="宋体" w:cs="宋体"/>
      <w:kern w:val="0"/>
      <w:sz w:val="18"/>
      <w:szCs w:val="18"/>
    </w:rPr>
  </w:style>
  <w:style w:type="paragraph" w:customStyle="1" w:styleId="16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6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64">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仿宋_GB2312" w:hAnsi="宋体" w:eastAsia="仿宋_GB2312" w:cs="宋体"/>
      <w:kern w:val="0"/>
      <w:sz w:val="18"/>
      <w:szCs w:val="18"/>
    </w:rPr>
  </w:style>
  <w:style w:type="paragraph" w:customStyle="1" w:styleId="16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Verdana" w:hAnsi="Verdana" w:eastAsia="宋体" w:cs="宋体"/>
      <w:kern w:val="0"/>
      <w:sz w:val="18"/>
      <w:szCs w:val="18"/>
    </w:rPr>
  </w:style>
  <w:style w:type="paragraph" w:customStyle="1" w:styleId="16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pPr>
    <w:rPr>
      <w:rFonts w:ascii="仿宋_GB2312" w:hAnsi="宋体" w:eastAsia="仿宋_GB2312" w:cs="宋体"/>
      <w:kern w:val="0"/>
      <w:sz w:val="18"/>
      <w:szCs w:val="18"/>
    </w:rPr>
  </w:style>
  <w:style w:type="paragraph" w:customStyle="1" w:styleId="16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pPr>
    <w:rPr>
      <w:rFonts w:ascii="仿宋_GB2312" w:hAnsi="宋体" w:eastAsia="仿宋_GB2312" w:cs="宋体"/>
      <w:kern w:val="0"/>
      <w:sz w:val="18"/>
      <w:szCs w:val="18"/>
    </w:rPr>
  </w:style>
  <w:style w:type="paragraph" w:customStyle="1" w:styleId="168">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Times New Roman" w:hAnsi="Times New Roman" w:eastAsia="宋体" w:cs="Times New Roman"/>
      <w:kern w:val="0"/>
      <w:sz w:val="18"/>
      <w:szCs w:val="18"/>
    </w:rPr>
  </w:style>
  <w:style w:type="paragraph" w:customStyle="1" w:styleId="169">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eastAsia="宋体" w:cs="宋体"/>
      <w:kern w:val="0"/>
      <w:sz w:val="18"/>
      <w:szCs w:val="18"/>
    </w:rPr>
  </w:style>
  <w:style w:type="paragraph" w:customStyle="1" w:styleId="170">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rFonts w:ascii="Times New Roman" w:hAnsi="Times New Roman" w:eastAsia="宋体" w:cs="Times New Roman"/>
      <w:kern w:val="0"/>
      <w:sz w:val="18"/>
      <w:szCs w:val="18"/>
    </w:rPr>
  </w:style>
  <w:style w:type="paragraph" w:customStyle="1" w:styleId="17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eastAsia="宋体" w:cs="宋体"/>
      <w:kern w:val="0"/>
      <w:sz w:val="18"/>
      <w:szCs w:val="18"/>
    </w:rPr>
  </w:style>
  <w:style w:type="paragraph" w:customStyle="1" w:styleId="17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18"/>
      <w:szCs w:val="18"/>
    </w:rPr>
  </w:style>
  <w:style w:type="paragraph" w:customStyle="1" w:styleId="173">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bottom"/>
    </w:pPr>
    <w:rPr>
      <w:rFonts w:ascii="宋体" w:hAnsi="宋体" w:eastAsia="宋体" w:cs="宋体"/>
      <w:kern w:val="0"/>
      <w:sz w:val="18"/>
      <w:szCs w:val="18"/>
    </w:rPr>
  </w:style>
  <w:style w:type="paragraph" w:customStyle="1" w:styleId="17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bottom"/>
    </w:pPr>
    <w:rPr>
      <w:rFonts w:ascii="宋体" w:hAnsi="宋体" w:eastAsia="宋体" w:cs="宋体"/>
      <w:kern w:val="0"/>
      <w:sz w:val="18"/>
      <w:szCs w:val="18"/>
    </w:rPr>
  </w:style>
  <w:style w:type="paragraph" w:customStyle="1" w:styleId="17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bottom"/>
    </w:pPr>
    <w:rPr>
      <w:rFonts w:ascii="宋体" w:hAnsi="宋体" w:eastAsia="宋体" w:cs="宋体"/>
      <w:kern w:val="0"/>
      <w:sz w:val="18"/>
      <w:szCs w:val="18"/>
    </w:rPr>
  </w:style>
  <w:style w:type="paragraph" w:styleId="176">
    <w:name w:val="No Spacing"/>
    <w:link w:val="177"/>
    <w:qFormat/>
    <w:uiPriority w:val="1"/>
    <w:rPr>
      <w:rFonts w:ascii="Calibri" w:hAnsi="Calibri" w:eastAsia="宋体" w:cs="Times New Roman"/>
      <w:sz w:val="22"/>
      <w:szCs w:val="22"/>
      <w:lang w:val="en-US" w:eastAsia="zh-CN" w:bidi="ar-SA"/>
    </w:rPr>
  </w:style>
  <w:style w:type="character" w:customStyle="1" w:styleId="177">
    <w:name w:val="无间隔 字符"/>
    <w:link w:val="176"/>
    <w:qFormat/>
    <w:uiPriority w:val="1"/>
    <w:rPr>
      <w:rFonts w:ascii="Calibri" w:hAnsi="Calibri" w:eastAsia="宋体" w:cs="Times New Roman"/>
      <w:kern w:val="0"/>
      <w:sz w:val="22"/>
    </w:rPr>
  </w:style>
  <w:style w:type="paragraph" w:customStyle="1" w:styleId="178">
    <w:name w:val="ZB5"/>
    <w:basedOn w:val="1"/>
    <w:link w:val="179"/>
    <w:qFormat/>
    <w:uiPriority w:val="0"/>
    <w:pPr>
      <w:spacing w:line="400" w:lineRule="exact"/>
      <w:ind w:firstLine="200" w:firstLineChars="200"/>
    </w:pPr>
    <w:rPr>
      <w:rFonts w:ascii="Consolas" w:hAnsi="Consolas" w:eastAsia="方正中等线简体" w:cs="Times New Roman"/>
      <w:kern w:val="0"/>
      <w:sz w:val="22"/>
      <w:szCs w:val="20"/>
    </w:rPr>
  </w:style>
  <w:style w:type="character" w:customStyle="1" w:styleId="179">
    <w:name w:val="ZB5 Char"/>
    <w:link w:val="178"/>
    <w:qFormat/>
    <w:uiPriority w:val="0"/>
    <w:rPr>
      <w:rFonts w:ascii="Consolas" w:hAnsi="Consolas" w:eastAsia="方正中等线简体" w:cs="Times New Roman"/>
      <w:kern w:val="0"/>
      <w:sz w:val="22"/>
      <w:szCs w:val="20"/>
    </w:rPr>
  </w:style>
  <w:style w:type="character" w:customStyle="1" w:styleId="180">
    <w:name w:val="headline-content2"/>
    <w:basedOn w:val="41"/>
    <w:qFormat/>
    <w:uiPriority w:val="0"/>
  </w:style>
  <w:style w:type="paragraph" w:customStyle="1" w:styleId="181">
    <w:name w:val="正文（1）"/>
    <w:basedOn w:val="1"/>
    <w:link w:val="182"/>
    <w:qFormat/>
    <w:uiPriority w:val="0"/>
    <w:pPr>
      <w:ind w:firstLine="420" w:firstLineChars="200"/>
      <w:jc w:val="left"/>
    </w:pPr>
    <w:rPr>
      <w:rFonts w:ascii="Calibri" w:hAnsi="Calibri" w:eastAsia="宋体" w:cs="Times New Roman"/>
      <w:kern w:val="0"/>
      <w:sz w:val="20"/>
      <w:szCs w:val="21"/>
    </w:rPr>
  </w:style>
  <w:style w:type="character" w:customStyle="1" w:styleId="182">
    <w:name w:val="正文（1） Char"/>
    <w:link w:val="181"/>
    <w:qFormat/>
    <w:locked/>
    <w:uiPriority w:val="0"/>
    <w:rPr>
      <w:rFonts w:ascii="Calibri" w:hAnsi="Calibri" w:eastAsia="宋体" w:cs="Times New Roman"/>
      <w:kern w:val="0"/>
      <w:sz w:val="20"/>
      <w:szCs w:val="21"/>
    </w:rPr>
  </w:style>
  <w:style w:type="character" w:customStyle="1" w:styleId="183">
    <w:name w:val="副标题 字符"/>
    <w:basedOn w:val="41"/>
    <w:link w:val="30"/>
    <w:qFormat/>
    <w:uiPriority w:val="11"/>
    <w:rPr>
      <w:rFonts w:ascii="Arial" w:hAnsi="Arial" w:eastAsia="宋体" w:cs="Arial"/>
      <w:b/>
      <w:bCs/>
      <w:kern w:val="28"/>
      <w:sz w:val="32"/>
      <w:szCs w:val="32"/>
    </w:rPr>
  </w:style>
  <w:style w:type="paragraph" w:customStyle="1" w:styleId="184">
    <w:name w:val="默认段落字体 Para Char"/>
    <w:basedOn w:val="1"/>
    <w:qFormat/>
    <w:uiPriority w:val="0"/>
    <w:pPr>
      <w:tabs>
        <w:tab w:val="left" w:pos="720"/>
        <w:tab w:val="left" w:pos="900"/>
      </w:tabs>
      <w:spacing w:line="240" w:lineRule="auto"/>
      <w:ind w:left="900" w:hanging="420"/>
    </w:pPr>
    <w:rPr>
      <w:rFonts w:ascii="Times New Roman" w:hAnsi="Times New Roman" w:eastAsia="宋体" w:cs="Times New Roman"/>
      <w:sz w:val="21"/>
      <w:szCs w:val="20"/>
    </w:rPr>
  </w:style>
  <w:style w:type="character" w:customStyle="1" w:styleId="185">
    <w:name w:val="正文文本首行缩进 字符"/>
    <w:basedOn w:val="72"/>
    <w:link w:val="37"/>
    <w:qFormat/>
    <w:uiPriority w:val="0"/>
    <w:rPr>
      <w:rFonts w:ascii="Times New Roman" w:hAnsi="Times New Roman" w:eastAsia="宋体" w:cs="Times New Roman"/>
      <w:szCs w:val="24"/>
    </w:rPr>
  </w:style>
  <w:style w:type="character" w:customStyle="1" w:styleId="186">
    <w:name w:val="批注文字 字符"/>
    <w:basedOn w:val="41"/>
    <w:link w:val="15"/>
    <w:qFormat/>
    <w:uiPriority w:val="0"/>
    <w:rPr>
      <w:rFonts w:ascii="Times New Roman" w:hAnsi="Times New Roman" w:eastAsia="宋体" w:cs="Times New Roman"/>
      <w:szCs w:val="24"/>
    </w:rPr>
  </w:style>
  <w:style w:type="character" w:customStyle="1" w:styleId="187">
    <w:name w:val="批注主题 字符"/>
    <w:basedOn w:val="186"/>
    <w:link w:val="36"/>
    <w:qFormat/>
    <w:uiPriority w:val="0"/>
    <w:rPr>
      <w:rFonts w:ascii="Times New Roman" w:hAnsi="Times New Roman" w:eastAsia="宋体" w:cs="Times New Roman"/>
      <w:b/>
      <w:bCs/>
      <w:szCs w:val="24"/>
    </w:rPr>
  </w:style>
  <w:style w:type="table" w:customStyle="1" w:styleId="188">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189">
    <w:name w:val="Table Paragraph"/>
    <w:basedOn w:val="1"/>
    <w:qFormat/>
    <w:uiPriority w:val="1"/>
    <w:pPr>
      <w:autoSpaceDE w:val="0"/>
      <w:autoSpaceDN w:val="0"/>
      <w:spacing w:line="240" w:lineRule="auto"/>
      <w:jc w:val="left"/>
    </w:pPr>
    <w:rPr>
      <w:rFonts w:ascii="宋体" w:hAnsi="宋体" w:eastAsia="宋体" w:cs="宋体"/>
      <w:kern w:val="0"/>
      <w:sz w:val="22"/>
      <w:lang w:eastAsia="en-US"/>
    </w:rPr>
  </w:style>
  <w:style w:type="paragraph" w:customStyle="1" w:styleId="190">
    <w:name w:val="xl65"/>
    <w:basedOn w:val="1"/>
    <w:qFormat/>
    <w:uiPriority w:val="0"/>
    <w:pPr>
      <w:widowControl/>
      <w:pBdr>
        <w:bottom w:val="single" w:color="000000" w:sz="8" w:space="0"/>
        <w:right w:val="single" w:color="000000" w:sz="8" w:space="0"/>
      </w:pBdr>
      <w:spacing w:before="100" w:beforeAutospacing="1" w:after="100" w:afterAutospacing="1" w:line="240" w:lineRule="auto"/>
      <w:jc w:val="center"/>
      <w:textAlignment w:val="center"/>
    </w:pPr>
    <w:rPr>
      <w:rFonts w:ascii="宋体" w:hAnsi="宋体" w:eastAsia="宋体" w:cs="宋体"/>
      <w:kern w:val="0"/>
      <w:sz w:val="21"/>
      <w:szCs w:val="21"/>
    </w:rPr>
  </w:style>
  <w:style w:type="paragraph" w:customStyle="1" w:styleId="191">
    <w:name w:val="xl66"/>
    <w:basedOn w:val="1"/>
    <w:qFormat/>
    <w:uiPriority w:val="0"/>
    <w:pPr>
      <w:widowControl/>
      <w:pBdr>
        <w:left w:val="single" w:color="000000" w:sz="8" w:space="0"/>
        <w:bottom w:val="single" w:color="000000" w:sz="8" w:space="0"/>
        <w:right w:val="single" w:color="000000" w:sz="8" w:space="0"/>
      </w:pBdr>
      <w:spacing w:before="100" w:beforeAutospacing="1" w:after="100" w:afterAutospacing="1" w:line="240" w:lineRule="auto"/>
      <w:jc w:val="center"/>
      <w:textAlignment w:val="center"/>
    </w:pPr>
    <w:rPr>
      <w:rFonts w:ascii="宋体" w:hAnsi="宋体" w:eastAsia="宋体" w:cs="宋体"/>
      <w:kern w:val="0"/>
      <w:sz w:val="21"/>
      <w:szCs w:val="21"/>
    </w:rPr>
  </w:style>
  <w:style w:type="paragraph" w:customStyle="1" w:styleId="192">
    <w:name w:val="xl67"/>
    <w:basedOn w:val="1"/>
    <w:qFormat/>
    <w:uiPriority w:val="0"/>
    <w:pPr>
      <w:widowControl/>
      <w:pBdr>
        <w:right w:val="single" w:color="000000" w:sz="8" w:space="0"/>
      </w:pBdr>
      <w:spacing w:before="100" w:beforeAutospacing="1" w:after="100" w:afterAutospacing="1" w:line="240" w:lineRule="auto"/>
      <w:jc w:val="center"/>
      <w:textAlignment w:val="center"/>
    </w:pPr>
    <w:rPr>
      <w:rFonts w:ascii="宋体" w:hAnsi="宋体" w:eastAsia="宋体" w:cs="宋体"/>
      <w:kern w:val="0"/>
      <w:sz w:val="21"/>
      <w:szCs w:val="21"/>
    </w:rPr>
  </w:style>
  <w:style w:type="paragraph" w:customStyle="1" w:styleId="193">
    <w:name w:val="xl68"/>
    <w:basedOn w:val="1"/>
    <w:qFormat/>
    <w:uiPriority w:val="0"/>
    <w:pPr>
      <w:widowControl/>
      <w:pBdr>
        <w:top w:val="single" w:color="000000" w:sz="8" w:space="0"/>
        <w:left w:val="single" w:color="000000" w:sz="8" w:space="0"/>
        <w:right w:val="single" w:color="000000" w:sz="8" w:space="0"/>
      </w:pBdr>
      <w:spacing w:before="100" w:beforeAutospacing="1" w:after="100" w:afterAutospacing="1" w:line="240" w:lineRule="auto"/>
      <w:jc w:val="center"/>
      <w:textAlignment w:val="center"/>
    </w:pPr>
    <w:rPr>
      <w:rFonts w:ascii="宋体" w:hAnsi="宋体" w:eastAsia="宋体" w:cs="宋体"/>
      <w:kern w:val="0"/>
      <w:sz w:val="21"/>
      <w:szCs w:val="21"/>
    </w:rPr>
  </w:style>
  <w:style w:type="paragraph" w:customStyle="1" w:styleId="194">
    <w:name w:val="xl113"/>
    <w:basedOn w:val="1"/>
    <w:qFormat/>
    <w:uiPriority w:val="0"/>
    <w:pPr>
      <w:widowControl/>
      <w:pBdr>
        <w:bottom w:val="single" w:color="000000" w:sz="8" w:space="0"/>
        <w:right w:val="single" w:color="000000" w:sz="8" w:space="0"/>
      </w:pBdr>
      <w:spacing w:before="100" w:beforeAutospacing="1" w:after="100" w:afterAutospacing="1" w:line="240" w:lineRule="auto"/>
      <w:jc w:val="center"/>
      <w:textAlignment w:val="center"/>
    </w:pPr>
    <w:rPr>
      <w:rFonts w:ascii="宋体" w:hAnsi="宋体" w:eastAsia="宋体" w:cs="宋体"/>
      <w:b/>
      <w:bCs/>
      <w:kern w:val="0"/>
      <w:sz w:val="21"/>
      <w:szCs w:val="21"/>
    </w:rPr>
  </w:style>
  <w:style w:type="paragraph" w:customStyle="1" w:styleId="195">
    <w:name w:val="xl114"/>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20"/>
      <w:szCs w:val="20"/>
    </w:rPr>
  </w:style>
  <w:style w:type="paragraph" w:customStyle="1" w:styleId="196">
    <w:name w:val="xl115"/>
    <w:basedOn w:val="1"/>
    <w:qFormat/>
    <w:uiPriority w:val="0"/>
    <w:pPr>
      <w:widowControl/>
      <w:pBdr>
        <w:top w:val="single" w:color="000000" w:sz="8" w:space="0"/>
        <w:bottom w:val="single" w:color="000000" w:sz="8" w:space="0"/>
        <w:right w:val="single" w:color="000000" w:sz="8" w:space="0"/>
      </w:pBdr>
      <w:spacing w:before="100" w:beforeAutospacing="1" w:after="100" w:afterAutospacing="1" w:line="240" w:lineRule="auto"/>
      <w:jc w:val="left"/>
      <w:textAlignment w:val="center"/>
    </w:pPr>
    <w:rPr>
      <w:rFonts w:ascii="宋体" w:hAnsi="宋体" w:eastAsia="宋体" w:cs="宋体"/>
      <w:kern w:val="0"/>
      <w:sz w:val="21"/>
      <w:szCs w:val="21"/>
    </w:rPr>
  </w:style>
  <w:style w:type="paragraph" w:customStyle="1" w:styleId="197">
    <w:name w:val="xl116"/>
    <w:basedOn w:val="1"/>
    <w:qFormat/>
    <w:uiPriority w:val="0"/>
    <w:pPr>
      <w:widowControl/>
      <w:pBdr>
        <w:top w:val="single" w:color="000000" w:sz="8" w:space="0"/>
        <w:bottom w:val="single" w:color="000000" w:sz="8" w:space="0"/>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20"/>
      <w:szCs w:val="20"/>
    </w:rPr>
  </w:style>
  <w:style w:type="paragraph" w:customStyle="1" w:styleId="198">
    <w:name w:val="xl117"/>
    <w:basedOn w:val="1"/>
    <w:qFormat/>
    <w:uiPriority w:val="0"/>
    <w:pPr>
      <w:widowControl/>
      <w:pBdr>
        <w:left w:val="single" w:color="000000" w:sz="8" w:space="0"/>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28"/>
      <w:szCs w:val="28"/>
    </w:rPr>
  </w:style>
  <w:style w:type="paragraph" w:customStyle="1" w:styleId="199">
    <w:name w:val="xl118"/>
    <w:basedOn w:val="1"/>
    <w:qFormat/>
    <w:uiPriority w:val="0"/>
    <w:pPr>
      <w:widowControl/>
      <w:pBdr>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17"/>
      <w:szCs w:val="17"/>
    </w:rPr>
  </w:style>
  <w:style w:type="paragraph" w:customStyle="1" w:styleId="200">
    <w:name w:val="xl119"/>
    <w:basedOn w:val="1"/>
    <w:qFormat/>
    <w:uiPriority w:val="0"/>
    <w:pPr>
      <w:widowControl/>
      <w:pBdr>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29"/>
      <w:szCs w:val="29"/>
    </w:rPr>
  </w:style>
  <w:style w:type="paragraph" w:customStyle="1" w:styleId="201">
    <w:name w:val="xl120"/>
    <w:basedOn w:val="1"/>
    <w:qFormat/>
    <w:uiPriority w:val="0"/>
    <w:pPr>
      <w:widowControl/>
      <w:pBdr>
        <w:left w:val="single" w:color="000000" w:sz="8" w:space="0"/>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29"/>
      <w:szCs w:val="29"/>
    </w:rPr>
  </w:style>
  <w:style w:type="paragraph" w:customStyle="1" w:styleId="202">
    <w:name w:val="xl121"/>
    <w:basedOn w:val="1"/>
    <w:qFormat/>
    <w:uiPriority w:val="0"/>
    <w:pPr>
      <w:widowControl/>
      <w:pBdr>
        <w:top w:val="single" w:color="000000" w:sz="8" w:space="0"/>
        <w:right w:val="single" w:color="000000" w:sz="8" w:space="0"/>
      </w:pBdr>
      <w:spacing w:before="100" w:beforeAutospacing="1" w:after="100" w:afterAutospacing="1" w:line="240" w:lineRule="auto"/>
      <w:jc w:val="center"/>
      <w:textAlignment w:val="center"/>
    </w:pPr>
    <w:rPr>
      <w:rFonts w:ascii="宋体" w:hAnsi="宋体" w:eastAsia="宋体" w:cs="宋体"/>
      <w:kern w:val="0"/>
      <w:sz w:val="21"/>
      <w:szCs w:val="21"/>
    </w:rPr>
  </w:style>
  <w:style w:type="paragraph" w:customStyle="1" w:styleId="203">
    <w:name w:val="xl122"/>
    <w:basedOn w:val="1"/>
    <w:qFormat/>
    <w:uiPriority w:val="0"/>
    <w:pPr>
      <w:widowControl/>
      <w:pBdr>
        <w:left w:val="single" w:color="000000" w:sz="8" w:space="0"/>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17"/>
      <w:szCs w:val="17"/>
    </w:rPr>
  </w:style>
  <w:style w:type="paragraph" w:customStyle="1" w:styleId="204">
    <w:name w:val="xl123"/>
    <w:basedOn w:val="1"/>
    <w:qFormat/>
    <w:uiPriority w:val="0"/>
    <w:pPr>
      <w:widowControl/>
      <w:pBdr>
        <w:left w:val="single" w:color="000000" w:sz="8" w:space="0"/>
        <w:right w:val="single" w:color="000000" w:sz="8" w:space="0"/>
      </w:pBdr>
      <w:spacing w:before="100" w:beforeAutospacing="1" w:after="100" w:afterAutospacing="1" w:line="240" w:lineRule="auto"/>
      <w:jc w:val="left"/>
      <w:textAlignment w:val="center"/>
    </w:pPr>
    <w:rPr>
      <w:rFonts w:ascii="宋体" w:hAnsi="宋体" w:eastAsia="宋体" w:cs="宋体"/>
      <w:kern w:val="0"/>
      <w:sz w:val="21"/>
      <w:szCs w:val="21"/>
    </w:rPr>
  </w:style>
  <w:style w:type="paragraph" w:customStyle="1" w:styleId="205">
    <w:name w:val="xl124"/>
    <w:basedOn w:val="1"/>
    <w:qFormat/>
    <w:uiPriority w:val="0"/>
    <w:pPr>
      <w:widowControl/>
      <w:pBdr>
        <w:top w:val="single" w:color="000000" w:sz="8" w:space="0"/>
      </w:pBdr>
      <w:spacing w:before="100" w:beforeAutospacing="1" w:after="100" w:afterAutospacing="1" w:line="240" w:lineRule="auto"/>
      <w:jc w:val="center"/>
      <w:textAlignment w:val="center"/>
    </w:pPr>
    <w:rPr>
      <w:rFonts w:ascii="宋体" w:hAnsi="宋体" w:eastAsia="宋体" w:cs="宋体"/>
      <w:b/>
      <w:bCs/>
      <w:kern w:val="0"/>
      <w:sz w:val="21"/>
      <w:szCs w:val="21"/>
    </w:rPr>
  </w:style>
  <w:style w:type="paragraph" w:customStyle="1" w:styleId="206">
    <w:name w:val="xl125"/>
    <w:basedOn w:val="1"/>
    <w:qFormat/>
    <w:uiPriority w:val="0"/>
    <w:pPr>
      <w:widowControl/>
      <w:pBdr>
        <w:bottom w:val="single" w:color="000000" w:sz="8" w:space="0"/>
      </w:pBdr>
      <w:spacing w:before="100" w:beforeAutospacing="1" w:after="100" w:afterAutospacing="1" w:line="240" w:lineRule="auto"/>
      <w:jc w:val="center"/>
      <w:textAlignment w:val="center"/>
    </w:pPr>
    <w:rPr>
      <w:rFonts w:ascii="宋体" w:hAnsi="宋体" w:eastAsia="宋体" w:cs="宋体"/>
      <w:b/>
      <w:bCs/>
      <w:kern w:val="0"/>
      <w:sz w:val="21"/>
      <w:szCs w:val="21"/>
    </w:rPr>
  </w:style>
  <w:style w:type="paragraph" w:customStyle="1" w:styleId="207">
    <w:name w:val="xl126"/>
    <w:basedOn w:val="1"/>
    <w:qFormat/>
    <w:uiPriority w:val="0"/>
    <w:pPr>
      <w:widowControl/>
      <w:pBdr>
        <w:top w:val="single" w:color="000000" w:sz="8" w:space="0"/>
        <w:left w:val="single" w:color="000000" w:sz="8" w:space="31"/>
        <w:right w:val="single" w:color="000000" w:sz="8" w:space="0"/>
      </w:pBdr>
      <w:spacing w:before="100" w:beforeAutospacing="1" w:after="100" w:afterAutospacing="1" w:line="240" w:lineRule="auto"/>
      <w:ind w:firstLine="200" w:firstLineChars="200"/>
      <w:jc w:val="left"/>
      <w:textAlignment w:val="center"/>
    </w:pPr>
    <w:rPr>
      <w:rFonts w:ascii="宋体" w:hAnsi="宋体" w:eastAsia="宋体" w:cs="宋体"/>
      <w:kern w:val="0"/>
      <w:sz w:val="21"/>
      <w:szCs w:val="21"/>
    </w:rPr>
  </w:style>
  <w:style w:type="paragraph" w:customStyle="1" w:styleId="208">
    <w:name w:val="xl127"/>
    <w:basedOn w:val="1"/>
    <w:qFormat/>
    <w:uiPriority w:val="0"/>
    <w:pPr>
      <w:widowControl/>
      <w:pBdr>
        <w:left w:val="single" w:color="000000" w:sz="8" w:space="31"/>
        <w:bottom w:val="single" w:color="000000" w:sz="8" w:space="0"/>
        <w:right w:val="single" w:color="000000" w:sz="8" w:space="0"/>
      </w:pBdr>
      <w:spacing w:before="100" w:beforeAutospacing="1" w:after="100" w:afterAutospacing="1" w:line="240" w:lineRule="auto"/>
      <w:ind w:firstLine="200" w:firstLineChars="200"/>
      <w:jc w:val="left"/>
      <w:textAlignment w:val="center"/>
    </w:pPr>
    <w:rPr>
      <w:rFonts w:ascii="宋体" w:hAnsi="宋体" w:eastAsia="宋体" w:cs="宋体"/>
      <w:kern w:val="0"/>
      <w:sz w:val="21"/>
      <w:szCs w:val="21"/>
    </w:rPr>
  </w:style>
  <w:style w:type="paragraph" w:customStyle="1" w:styleId="209">
    <w:name w:val="xl128"/>
    <w:basedOn w:val="1"/>
    <w:qFormat/>
    <w:uiPriority w:val="0"/>
    <w:pPr>
      <w:widowControl/>
      <w:pBdr>
        <w:top w:val="single" w:color="000000" w:sz="8" w:space="0"/>
        <w:right w:val="single" w:color="000000" w:sz="8" w:space="0"/>
      </w:pBdr>
      <w:spacing w:before="100" w:beforeAutospacing="1" w:after="100" w:afterAutospacing="1" w:line="240" w:lineRule="auto"/>
      <w:jc w:val="left"/>
      <w:textAlignment w:val="center"/>
    </w:pPr>
    <w:rPr>
      <w:rFonts w:ascii="Times New Roman" w:hAnsi="Times New Roman" w:eastAsia="宋体" w:cs="Times New Roman"/>
      <w:kern w:val="0"/>
      <w:sz w:val="21"/>
      <w:szCs w:val="21"/>
    </w:rPr>
  </w:style>
  <w:style w:type="paragraph" w:customStyle="1" w:styleId="210">
    <w:name w:val="样式 正文文本缩进 +"/>
    <w:basedOn w:val="18"/>
    <w:qFormat/>
    <w:uiPriority w:val="0"/>
    <w:pPr>
      <w:spacing w:after="0" w:afterLines="50"/>
      <w:ind w:left="0" w:leftChars="0" w:firstLine="200" w:firstLineChars="200"/>
    </w:pPr>
  </w:style>
  <w:style w:type="paragraph" w:customStyle="1" w:styleId="211">
    <w:name w:val="列出段落1"/>
    <w:basedOn w:val="1"/>
    <w:qFormat/>
    <w:uiPriority w:val="34"/>
    <w:pPr>
      <w:ind w:firstLine="200" w:firstLineChars="200"/>
      <w:jc w:val="left"/>
    </w:pPr>
    <w:rPr>
      <w:rFonts w:cs="Courier New"/>
      <w:lang w:val="zh-CN"/>
    </w:rPr>
  </w:style>
  <w:style w:type="paragraph" w:customStyle="1" w:styleId="212">
    <w:name w:val="列1"/>
    <w:basedOn w:val="1"/>
    <w:next w:val="61"/>
    <w:qFormat/>
    <w:uiPriority w:val="34"/>
    <w:pPr>
      <w:ind w:firstLine="420" w:firstLineChars="200"/>
    </w:pPr>
  </w:style>
  <w:style w:type="character" w:customStyle="1" w:styleId="213">
    <w:name w:val="日期 字符"/>
    <w:basedOn w:val="41"/>
    <w:link w:val="23"/>
    <w:qFormat/>
    <w:uiPriority w:val="0"/>
    <w:rPr>
      <w:rFonts w:ascii="Times New Roman" w:hAnsi="Times New Roman" w:eastAsia="宋体" w:cs="Times New Roman"/>
      <w:kern w:val="0"/>
      <w:sz w:val="24"/>
      <w:szCs w:val="24"/>
      <w:lang w:eastAsia="en-US"/>
    </w:rPr>
  </w:style>
  <w:style w:type="paragraph" w:customStyle="1" w:styleId="214">
    <w:name w:val="日期1"/>
    <w:basedOn w:val="1"/>
    <w:next w:val="1"/>
    <w:qFormat/>
    <w:uiPriority w:val="0"/>
    <w:pPr>
      <w:adjustRightInd w:val="0"/>
      <w:spacing w:line="312" w:lineRule="atLeast"/>
      <w:textAlignment w:val="baseline"/>
    </w:pPr>
    <w:rPr>
      <w:rFonts w:ascii="Times New Roman" w:hAnsi="Times New Roman" w:eastAsia="宋体" w:cs="Times New Roman"/>
      <w:kern w:val="0"/>
      <w:szCs w:val="20"/>
    </w:rPr>
  </w:style>
  <w:style w:type="character" w:customStyle="1" w:styleId="215">
    <w:name w:val="正文文本缩进 2 字符"/>
    <w:basedOn w:val="41"/>
    <w:link w:val="24"/>
    <w:qFormat/>
    <w:uiPriority w:val="0"/>
    <w:rPr>
      <w:rFonts w:ascii="Times New Roman" w:hAnsi="Times New Roman" w:eastAsia="宋体" w:cs="Times New Roman"/>
      <w:szCs w:val="24"/>
    </w:rPr>
  </w:style>
  <w:style w:type="paragraph" w:customStyle="1" w:styleId="216">
    <w:name w:val="首行缩进二字"/>
    <w:basedOn w:val="1"/>
    <w:next w:val="18"/>
    <w:qFormat/>
    <w:uiPriority w:val="0"/>
    <w:pPr>
      <w:spacing w:before="240" w:beforeLines="100" w:line="360" w:lineRule="atLeast"/>
      <w:ind w:firstLine="454"/>
    </w:pPr>
    <w:rPr>
      <w:rFonts w:ascii="宋体" w:hAnsi="Times New Roman" w:eastAsia="宋体" w:cs="Times New Roman"/>
      <w:sz w:val="21"/>
      <w:szCs w:val="24"/>
    </w:rPr>
  </w:style>
  <w:style w:type="character" w:customStyle="1" w:styleId="217">
    <w:name w:val="Char Char"/>
    <w:qFormat/>
    <w:uiPriority w:val="0"/>
    <w:rPr>
      <w:rFonts w:eastAsia="宋体"/>
      <w:kern w:val="2"/>
      <w:sz w:val="21"/>
      <w:szCs w:val="24"/>
      <w:lang w:val="en-US" w:eastAsia="zh-CN" w:bidi="ar-SA"/>
    </w:rPr>
  </w:style>
  <w:style w:type="paragraph" w:customStyle="1" w:styleId="218">
    <w:name w:val="Default Text"/>
    <w:basedOn w:val="1"/>
    <w:qFormat/>
    <w:uiPriority w:val="0"/>
    <w:pPr>
      <w:spacing w:line="240" w:lineRule="auto"/>
      <w:jc w:val="left"/>
    </w:pPr>
    <w:rPr>
      <w:rFonts w:ascii="Times New Roman" w:hAnsi="Times New Roman" w:eastAsia="宋体" w:cs="Times New Roman"/>
      <w:kern w:val="0"/>
      <w:szCs w:val="20"/>
      <w:lang w:eastAsia="en-US"/>
    </w:rPr>
  </w:style>
  <w:style w:type="character" w:customStyle="1" w:styleId="219">
    <w:name w:val="H2 Char"/>
    <w:qFormat/>
    <w:uiPriority w:val="0"/>
    <w:rPr>
      <w:rFonts w:ascii="Arial" w:hAnsi="Arial" w:eastAsia="宋体"/>
      <w:b/>
      <w:bCs/>
      <w:kern w:val="2"/>
      <w:sz w:val="32"/>
      <w:szCs w:val="32"/>
      <w:lang w:val="en-US" w:eastAsia="zh-CN" w:bidi="ar-SA"/>
    </w:rPr>
  </w:style>
  <w:style w:type="paragraph" w:customStyle="1" w:styleId="220">
    <w:name w:val="msonormal"/>
    <w:basedOn w:val="1"/>
    <w:qFormat/>
    <w:uiPriority w:val="0"/>
    <w:pPr>
      <w:widowControl/>
      <w:spacing w:before="100" w:beforeAutospacing="1" w:after="100" w:afterAutospacing="1" w:line="240" w:lineRule="auto"/>
      <w:jc w:val="left"/>
    </w:pPr>
    <w:rPr>
      <w:rFonts w:ascii="宋体" w:hAnsi="宋体" w:eastAsia="宋体" w:cs="宋体"/>
      <w:kern w:val="0"/>
      <w:szCs w:val="24"/>
    </w:rPr>
  </w:style>
  <w:style w:type="paragraph" w:customStyle="1" w:styleId="221">
    <w:name w:val="列出段落11"/>
    <w:basedOn w:val="1"/>
    <w:qFormat/>
    <w:uiPriority w:val="0"/>
    <w:pPr>
      <w:spacing w:line="240" w:lineRule="auto"/>
      <w:ind w:firstLine="420" w:firstLineChars="200"/>
    </w:pPr>
    <w:rPr>
      <w:rFonts w:ascii="Calibri" w:hAnsi="Calibri" w:eastAsia="宋体" w:cs="黑体"/>
      <w:sz w:val="21"/>
    </w:rPr>
  </w:style>
  <w:style w:type="character" w:customStyle="1" w:styleId="222">
    <w:name w:val="font01"/>
    <w:basedOn w:val="41"/>
    <w:qFormat/>
    <w:uiPriority w:val="0"/>
    <w:rPr>
      <w:rFonts w:ascii="Wingdings" w:hAnsi="Wingdings" w:cs="Wingding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23</Pages>
  <Words>10596</Words>
  <Characters>10981</Characters>
  <Lines>118</Lines>
  <Paragraphs>33</Paragraphs>
  <TotalTime>2</TotalTime>
  <ScaleCrop>false</ScaleCrop>
  <LinksUpToDate>false</LinksUpToDate>
  <CharactersWithSpaces>11105</CharactersWithSpaces>
  <Application>WPS Office WWO_wpscloud_20251224173010-b51a25e58c</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2023-12-15T21:53:00Z</dcterms:created>
  <dc:creator>浩 李</dc:creator>
  <cp:lastModifiedBy>kos</cp:lastModifiedBy>
  <cp:lastPrinted>2025-12-26T23:32:00Z</cp:lastPrinted>
  <dcterms:modified xsi:type="dcterms:W3CDTF">2025-12-26T16:00:42Z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2052-12.9.0.24678</vt:lpwstr>
  </property>
  <property fmtid="{D5CDD505-2E9C-101B-9397-08002B2CF9AE}" pid="3" name="ICV">
    <vt:lpwstr>209B436A276DF418AA404E6911BA0022_43</vt:lpwstr>
  </property>
  <property fmtid="{D5CDD505-2E9C-101B-9397-08002B2CF9AE}" pid="4" name="KSOTemplateDocerSaveRecord">
    <vt:lpwstr>eyJoZGlkIjoiZWNhNDBiYzI2MDJmNmQ0ZTU0ZWY4OGVlNTAwYWViZGQiLCJ1c2VySWQiOiI0MzM4MTIwMzcifQ==</vt:lpwstr>
  </property>
</Properties>
</file>