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AB9F71">
      <w:pPr>
        <w:jc w:val="center"/>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t>检查预约系统维保服务项目</w:t>
      </w:r>
    </w:p>
    <w:p w14:paraId="2F5CBADF">
      <w:pPr>
        <w:pStyle w:val="10"/>
        <w:ind w:firstLine="0" w:firstLineChars="0"/>
        <w:rPr>
          <w:rFonts w:hint="eastAsia" w:ascii="宋体" w:hAnsi="宋体" w:eastAsia="宋体" w:cs="宋体"/>
          <w:b/>
          <w:sz w:val="21"/>
          <w:szCs w:val="21"/>
        </w:rPr>
      </w:pPr>
      <w:bookmarkStart w:id="0" w:name="_Toc61945833"/>
    </w:p>
    <w:p w14:paraId="0E741070">
      <w:pPr>
        <w:pStyle w:val="2"/>
        <w:numPr>
          <w:ilvl w:val="0"/>
          <w:numId w:val="1"/>
        </w:numPr>
        <w:tabs>
          <w:tab w:val="left" w:pos="360"/>
        </w:tabs>
        <w:spacing w:before="0" w:after="0" w:line="360" w:lineRule="auto"/>
        <w:ind w:left="616" w:hanging="616"/>
        <w:jc w:val="left"/>
        <w:rPr>
          <w:rFonts w:hint="eastAsia" w:ascii="宋体" w:hAnsi="宋体" w:eastAsia="宋体" w:cs="宋体"/>
          <w:bCs w:val="0"/>
          <w:color w:val="auto"/>
          <w:sz w:val="21"/>
          <w:szCs w:val="21"/>
          <w:lang w:val="zh-CN"/>
        </w:rPr>
      </w:pPr>
      <w:bookmarkStart w:id="1" w:name="_Toc48289582"/>
      <w:r>
        <w:rPr>
          <w:rFonts w:hint="eastAsia" w:ascii="宋体" w:hAnsi="宋体" w:eastAsia="宋体" w:cs="宋体"/>
          <w:bCs w:val="0"/>
          <w:color w:val="auto"/>
          <w:sz w:val="21"/>
          <w:szCs w:val="21"/>
          <w:lang w:val="zh-CN"/>
        </w:rPr>
        <w:t>采购内容</w:t>
      </w:r>
      <w:bookmarkEnd w:id="1"/>
    </w:p>
    <w:tbl>
      <w:tblPr>
        <w:tblStyle w:val="7"/>
        <w:tblW w:w="4997" w:type="pct"/>
        <w:tblInd w:w="0" w:type="dxa"/>
        <w:tblLayout w:type="autofit"/>
        <w:tblCellMar>
          <w:top w:w="0" w:type="dxa"/>
          <w:left w:w="108" w:type="dxa"/>
          <w:bottom w:w="0" w:type="dxa"/>
          <w:right w:w="108" w:type="dxa"/>
        </w:tblCellMar>
      </w:tblPr>
      <w:tblGrid>
        <w:gridCol w:w="920"/>
        <w:gridCol w:w="1155"/>
        <w:gridCol w:w="741"/>
        <w:gridCol w:w="608"/>
        <w:gridCol w:w="2259"/>
        <w:gridCol w:w="2834"/>
      </w:tblGrid>
      <w:tr w14:paraId="0B31D7D3">
        <w:tblPrEx>
          <w:tblCellMar>
            <w:top w:w="0" w:type="dxa"/>
            <w:left w:w="108" w:type="dxa"/>
            <w:bottom w:w="0" w:type="dxa"/>
            <w:right w:w="108" w:type="dxa"/>
          </w:tblCellMar>
        </w:tblPrEx>
        <w:trPr>
          <w:trHeight w:val="20" w:hRule="atLeast"/>
        </w:trPr>
        <w:tc>
          <w:tcPr>
            <w:tcW w:w="540" w:type="pct"/>
            <w:tcBorders>
              <w:top w:val="single" w:color="auto" w:sz="4" w:space="0"/>
              <w:left w:val="single" w:color="auto" w:sz="4" w:space="0"/>
              <w:bottom w:val="single" w:color="auto" w:sz="4" w:space="0"/>
              <w:right w:val="single" w:color="auto" w:sz="4" w:space="0"/>
            </w:tcBorders>
            <w:shd w:val="clear" w:color="auto" w:fill="DDD9C3"/>
            <w:vAlign w:val="center"/>
          </w:tcPr>
          <w:p w14:paraId="34F35F06">
            <w:pPr>
              <w:spacing w:line="360" w:lineRule="auto"/>
              <w:ind w:left="-48" w:leftChars="-23" w:right="-48" w:rightChars="-23"/>
              <w:jc w:val="center"/>
              <w:rPr>
                <w:rFonts w:hint="eastAsia" w:ascii="宋体" w:hAnsi="宋体" w:eastAsia="宋体" w:cs="宋体"/>
                <w:sz w:val="21"/>
                <w:szCs w:val="21"/>
              </w:rPr>
            </w:pPr>
            <w:r>
              <w:rPr>
                <w:rFonts w:hint="eastAsia" w:ascii="宋体" w:hAnsi="宋体" w:eastAsia="宋体" w:cs="宋体"/>
                <w:sz w:val="21"/>
                <w:szCs w:val="21"/>
              </w:rPr>
              <w:t>序号</w:t>
            </w:r>
          </w:p>
        </w:tc>
        <w:tc>
          <w:tcPr>
            <w:tcW w:w="678" w:type="pct"/>
            <w:tcBorders>
              <w:top w:val="single" w:color="auto" w:sz="4" w:space="0"/>
              <w:left w:val="nil"/>
              <w:bottom w:val="single" w:color="auto" w:sz="4" w:space="0"/>
              <w:right w:val="single" w:color="auto" w:sz="4" w:space="0"/>
            </w:tcBorders>
            <w:shd w:val="clear" w:color="auto" w:fill="DDD9C3"/>
            <w:vAlign w:val="center"/>
          </w:tcPr>
          <w:p w14:paraId="2C9ED487">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名称</w:t>
            </w:r>
          </w:p>
        </w:tc>
        <w:tc>
          <w:tcPr>
            <w:tcW w:w="435" w:type="pct"/>
            <w:tcBorders>
              <w:top w:val="single" w:color="auto" w:sz="4" w:space="0"/>
              <w:left w:val="nil"/>
              <w:bottom w:val="single" w:color="auto" w:sz="4" w:space="0"/>
              <w:right w:val="single" w:color="auto" w:sz="4" w:space="0"/>
            </w:tcBorders>
            <w:shd w:val="clear" w:color="auto" w:fill="DDD9C3"/>
            <w:vAlign w:val="center"/>
          </w:tcPr>
          <w:p w14:paraId="2FDB5CC0">
            <w:pPr>
              <w:spacing w:line="360" w:lineRule="auto"/>
              <w:ind w:left="-48" w:leftChars="-23" w:right="-48" w:rightChars="-23"/>
              <w:jc w:val="center"/>
              <w:rPr>
                <w:rFonts w:hint="eastAsia" w:ascii="宋体" w:hAnsi="宋体" w:eastAsia="宋体" w:cs="宋体"/>
                <w:sz w:val="21"/>
                <w:szCs w:val="21"/>
              </w:rPr>
            </w:pPr>
            <w:r>
              <w:rPr>
                <w:rFonts w:hint="eastAsia" w:ascii="宋体" w:hAnsi="宋体" w:eastAsia="宋体" w:cs="宋体"/>
                <w:sz w:val="21"/>
                <w:szCs w:val="21"/>
              </w:rPr>
              <w:t>数量</w:t>
            </w:r>
          </w:p>
        </w:tc>
        <w:tc>
          <w:tcPr>
            <w:tcW w:w="356" w:type="pct"/>
            <w:tcBorders>
              <w:top w:val="single" w:color="auto" w:sz="4" w:space="0"/>
              <w:left w:val="nil"/>
              <w:bottom w:val="single" w:color="auto" w:sz="4" w:space="0"/>
              <w:right w:val="single" w:color="auto" w:sz="4" w:space="0"/>
            </w:tcBorders>
            <w:shd w:val="clear" w:color="auto" w:fill="DDD9C3"/>
            <w:vAlign w:val="center"/>
          </w:tcPr>
          <w:p w14:paraId="55F6A265">
            <w:pPr>
              <w:spacing w:line="360" w:lineRule="auto"/>
              <w:ind w:left="-48" w:leftChars="-23" w:right="-48" w:rightChars="-23"/>
              <w:jc w:val="center"/>
              <w:rPr>
                <w:rFonts w:hint="eastAsia" w:ascii="宋体" w:hAnsi="宋体" w:eastAsia="宋体" w:cs="宋体"/>
                <w:sz w:val="21"/>
                <w:szCs w:val="21"/>
              </w:rPr>
            </w:pPr>
            <w:r>
              <w:rPr>
                <w:rFonts w:hint="eastAsia" w:ascii="宋体" w:hAnsi="宋体" w:eastAsia="宋体" w:cs="宋体"/>
                <w:sz w:val="21"/>
                <w:szCs w:val="21"/>
              </w:rPr>
              <w:t>单位</w:t>
            </w:r>
          </w:p>
        </w:tc>
        <w:tc>
          <w:tcPr>
            <w:tcW w:w="1326" w:type="pct"/>
            <w:tcBorders>
              <w:top w:val="single" w:color="auto" w:sz="4" w:space="0"/>
              <w:left w:val="nil"/>
              <w:bottom w:val="single" w:color="auto" w:sz="4" w:space="0"/>
              <w:right w:val="single" w:color="auto" w:sz="4" w:space="0"/>
            </w:tcBorders>
            <w:shd w:val="clear" w:color="auto" w:fill="DDD9C3"/>
            <w:vAlign w:val="center"/>
          </w:tcPr>
          <w:p w14:paraId="49CCA1C8">
            <w:pPr>
              <w:spacing w:line="360" w:lineRule="auto"/>
              <w:ind w:left="-48" w:leftChars="-23" w:right="-48" w:rightChars="-23"/>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预算</w:t>
            </w:r>
          </w:p>
        </w:tc>
        <w:tc>
          <w:tcPr>
            <w:tcW w:w="1663" w:type="pct"/>
            <w:tcBorders>
              <w:top w:val="single" w:color="auto" w:sz="4" w:space="0"/>
              <w:left w:val="nil"/>
              <w:bottom w:val="single" w:color="auto" w:sz="4" w:space="0"/>
              <w:right w:val="single" w:color="auto" w:sz="4" w:space="0"/>
            </w:tcBorders>
            <w:shd w:val="clear" w:color="auto" w:fill="DDD9C3"/>
            <w:vAlign w:val="center"/>
          </w:tcPr>
          <w:p w14:paraId="433D9DAA">
            <w:pPr>
              <w:spacing w:line="360" w:lineRule="auto"/>
              <w:ind w:left="-48" w:leftChars="-23" w:right="-48" w:rightChars="-23"/>
              <w:jc w:val="center"/>
              <w:rPr>
                <w:rFonts w:hint="eastAsia" w:ascii="宋体" w:hAnsi="宋体" w:eastAsia="宋体" w:cs="宋体"/>
                <w:sz w:val="21"/>
                <w:szCs w:val="21"/>
              </w:rPr>
            </w:pPr>
            <w:r>
              <w:rPr>
                <w:rFonts w:hint="eastAsia" w:ascii="宋体" w:hAnsi="宋体" w:eastAsia="宋体" w:cs="宋体"/>
                <w:sz w:val="21"/>
                <w:szCs w:val="21"/>
              </w:rPr>
              <w:t>要求/备注</w:t>
            </w:r>
          </w:p>
        </w:tc>
      </w:tr>
      <w:tr w14:paraId="72270494">
        <w:tblPrEx>
          <w:tblCellMar>
            <w:top w:w="0" w:type="dxa"/>
            <w:left w:w="108" w:type="dxa"/>
            <w:bottom w:w="0" w:type="dxa"/>
            <w:right w:w="108" w:type="dxa"/>
          </w:tblCellMar>
        </w:tblPrEx>
        <w:trPr>
          <w:trHeight w:val="687" w:hRule="atLeast"/>
        </w:trPr>
        <w:tc>
          <w:tcPr>
            <w:tcW w:w="540" w:type="pct"/>
            <w:tcBorders>
              <w:top w:val="nil"/>
              <w:left w:val="single" w:color="auto" w:sz="4" w:space="0"/>
              <w:bottom w:val="single" w:color="auto" w:sz="4" w:space="0"/>
              <w:right w:val="single" w:color="auto" w:sz="4" w:space="0"/>
            </w:tcBorders>
            <w:shd w:val="clear" w:color="auto" w:fill="auto"/>
            <w:vAlign w:val="center"/>
          </w:tcPr>
          <w:p w14:paraId="07874CF4">
            <w:pPr>
              <w:pStyle w:val="11"/>
              <w:widowControl w:val="0"/>
              <w:numPr>
                <w:ilvl w:val="0"/>
                <w:numId w:val="2"/>
              </w:numPr>
              <w:tabs>
                <w:tab w:val="left" w:pos="33"/>
              </w:tabs>
              <w:ind w:left="-93" w:right="-48" w:rightChars="-23" w:hanging="3"/>
              <w:contextualSpacing w:val="0"/>
              <w:jc w:val="center"/>
              <w:rPr>
                <w:rFonts w:hint="eastAsia" w:ascii="宋体" w:hAnsi="宋体" w:eastAsia="宋体" w:cs="宋体"/>
                <w:sz w:val="21"/>
                <w:szCs w:val="21"/>
              </w:rPr>
            </w:pPr>
          </w:p>
        </w:tc>
        <w:tc>
          <w:tcPr>
            <w:tcW w:w="678" w:type="pct"/>
            <w:tcBorders>
              <w:top w:val="nil"/>
              <w:left w:val="single" w:color="auto" w:sz="4" w:space="0"/>
              <w:bottom w:val="single" w:color="auto" w:sz="4" w:space="0"/>
              <w:right w:val="single" w:color="auto" w:sz="4" w:space="0"/>
            </w:tcBorders>
            <w:shd w:val="clear" w:color="auto" w:fill="auto"/>
            <w:vAlign w:val="center"/>
          </w:tcPr>
          <w:p w14:paraId="12E195C6">
            <w:pPr>
              <w:ind w:left="-48" w:leftChars="-23" w:right="-48" w:rightChars="-23"/>
              <w:jc w:val="center"/>
              <w:rPr>
                <w:rFonts w:hint="eastAsia" w:ascii="宋体" w:hAnsi="宋体" w:eastAsia="宋体" w:cs="宋体"/>
                <w:b/>
                <w:bCs/>
                <w:sz w:val="21"/>
                <w:szCs w:val="21"/>
              </w:rPr>
            </w:pPr>
            <w:r>
              <w:rPr>
                <w:rFonts w:hint="eastAsia" w:ascii="宋体" w:hAnsi="宋体" w:eastAsia="宋体" w:cs="宋体"/>
                <w:i w:val="0"/>
                <w:iCs w:val="0"/>
                <w:caps w:val="0"/>
                <w:color w:val="000000"/>
                <w:spacing w:val="0"/>
                <w:sz w:val="21"/>
                <w:szCs w:val="21"/>
                <w:shd w:val="clear" w:fill="FFFFFF"/>
              </w:rPr>
              <w:t>检查预约系统维保服务</w:t>
            </w:r>
          </w:p>
        </w:tc>
        <w:tc>
          <w:tcPr>
            <w:tcW w:w="435" w:type="pct"/>
            <w:tcBorders>
              <w:top w:val="nil"/>
              <w:left w:val="single" w:color="auto" w:sz="4" w:space="0"/>
              <w:bottom w:val="single" w:color="auto" w:sz="4" w:space="0"/>
              <w:right w:val="single" w:color="auto" w:sz="4" w:space="0"/>
            </w:tcBorders>
            <w:shd w:val="clear" w:color="auto" w:fill="auto"/>
            <w:vAlign w:val="center"/>
          </w:tcPr>
          <w:p w14:paraId="01F488B0">
            <w:pPr>
              <w:ind w:left="-48" w:leftChars="-23" w:right="-48" w:rightChars="-23"/>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1</w:t>
            </w:r>
          </w:p>
        </w:tc>
        <w:tc>
          <w:tcPr>
            <w:tcW w:w="356" w:type="pct"/>
            <w:tcBorders>
              <w:top w:val="nil"/>
              <w:left w:val="single" w:color="auto" w:sz="4" w:space="0"/>
              <w:bottom w:val="single" w:color="auto" w:sz="4" w:space="0"/>
              <w:right w:val="single" w:color="auto" w:sz="4" w:space="0"/>
            </w:tcBorders>
            <w:shd w:val="clear" w:color="auto" w:fill="auto"/>
            <w:vAlign w:val="center"/>
          </w:tcPr>
          <w:p w14:paraId="29A628AA">
            <w:pPr>
              <w:ind w:left="-48" w:leftChars="-23" w:right="-48" w:rightChars="-23"/>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年</w:t>
            </w:r>
          </w:p>
        </w:tc>
        <w:tc>
          <w:tcPr>
            <w:tcW w:w="1326" w:type="pct"/>
            <w:tcBorders>
              <w:top w:val="nil"/>
              <w:left w:val="single" w:color="auto" w:sz="4" w:space="0"/>
              <w:bottom w:val="single" w:color="auto" w:sz="4" w:space="0"/>
              <w:right w:val="single" w:color="auto" w:sz="4" w:space="0"/>
            </w:tcBorders>
            <w:shd w:val="clear" w:color="auto" w:fill="auto"/>
            <w:vAlign w:val="center"/>
          </w:tcPr>
          <w:p w14:paraId="3C097704">
            <w:pPr>
              <w:ind w:left="-48" w:leftChars="-23" w:right="-48" w:rightChars="-23"/>
              <w:jc w:val="both"/>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50000</w:t>
            </w:r>
          </w:p>
        </w:tc>
        <w:tc>
          <w:tcPr>
            <w:tcW w:w="1663" w:type="pct"/>
            <w:tcBorders>
              <w:top w:val="nil"/>
              <w:left w:val="single" w:color="auto" w:sz="4" w:space="0"/>
              <w:bottom w:val="single" w:color="auto" w:sz="4" w:space="0"/>
              <w:right w:val="single" w:color="auto" w:sz="4" w:space="0"/>
            </w:tcBorders>
            <w:shd w:val="clear" w:color="auto" w:fill="auto"/>
            <w:vAlign w:val="center"/>
          </w:tcPr>
          <w:p w14:paraId="4FD9798C">
            <w:pPr>
              <w:ind w:left="-48" w:leftChars="-23" w:right="-48" w:rightChars="-23"/>
              <w:jc w:val="center"/>
              <w:rPr>
                <w:rFonts w:hint="eastAsia" w:ascii="宋体" w:hAnsi="宋体" w:eastAsia="宋体" w:cs="宋体"/>
                <w:b/>
                <w:bCs/>
                <w:sz w:val="21"/>
                <w:szCs w:val="21"/>
              </w:rPr>
            </w:pPr>
            <w:r>
              <w:rPr>
                <w:rFonts w:hint="eastAsia" w:ascii="宋体" w:hAnsi="宋体" w:eastAsia="宋体" w:cs="宋体"/>
                <w:b/>
                <w:bCs/>
                <w:sz w:val="21"/>
                <w:szCs w:val="21"/>
              </w:rPr>
              <w:t>核心产品</w:t>
            </w:r>
          </w:p>
        </w:tc>
      </w:tr>
      <w:tr w14:paraId="7D87D60C">
        <w:tblPrEx>
          <w:tblCellMar>
            <w:top w:w="0" w:type="dxa"/>
            <w:left w:w="108" w:type="dxa"/>
            <w:bottom w:w="0" w:type="dxa"/>
            <w:right w:w="108" w:type="dxa"/>
          </w:tblCellMar>
        </w:tblPrEx>
        <w:trPr>
          <w:trHeight w:val="731" w:hRule="atLeast"/>
        </w:trPr>
        <w:tc>
          <w:tcPr>
            <w:tcW w:w="2010" w:type="pct"/>
            <w:gridSpan w:val="4"/>
            <w:tcBorders>
              <w:top w:val="nil"/>
              <w:left w:val="single" w:color="auto" w:sz="4" w:space="0"/>
              <w:bottom w:val="single" w:color="auto" w:sz="4" w:space="0"/>
              <w:right w:val="single" w:color="auto" w:sz="4" w:space="0"/>
            </w:tcBorders>
            <w:shd w:val="clear" w:color="auto" w:fill="auto"/>
            <w:vAlign w:val="center"/>
          </w:tcPr>
          <w:p w14:paraId="146BD8D3">
            <w:pPr>
              <w:ind w:left="-48" w:leftChars="-23" w:right="-48" w:rightChars="-23"/>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预算合计</w:t>
            </w:r>
          </w:p>
        </w:tc>
        <w:tc>
          <w:tcPr>
            <w:tcW w:w="2989" w:type="pct"/>
            <w:gridSpan w:val="2"/>
            <w:tcBorders>
              <w:top w:val="nil"/>
              <w:left w:val="nil"/>
              <w:bottom w:val="single" w:color="auto" w:sz="4" w:space="0"/>
              <w:right w:val="single" w:color="auto" w:sz="4" w:space="0"/>
            </w:tcBorders>
            <w:shd w:val="clear" w:color="auto" w:fill="auto"/>
            <w:vAlign w:val="center"/>
          </w:tcPr>
          <w:p w14:paraId="7395F312">
            <w:pPr>
              <w:ind w:left="-48" w:leftChars="-23" w:right="-48" w:rightChars="-23"/>
              <w:jc w:val="center"/>
              <w:rPr>
                <w:rFonts w:hint="eastAsia" w:ascii="宋体" w:hAnsi="宋体" w:eastAsia="宋体" w:cs="宋体"/>
                <w:sz w:val="21"/>
                <w:szCs w:val="21"/>
                <w:lang w:val="en-US"/>
              </w:rPr>
            </w:pPr>
            <w:r>
              <w:rPr>
                <w:rFonts w:hint="eastAsia" w:ascii="宋体" w:hAnsi="宋体" w:eastAsia="宋体" w:cs="宋体"/>
                <w:b/>
                <w:bCs/>
                <w:sz w:val="21"/>
                <w:szCs w:val="21"/>
                <w:lang w:val="en-US" w:eastAsia="zh-CN"/>
              </w:rPr>
              <w:t>50000</w:t>
            </w:r>
            <w:r>
              <w:rPr>
                <w:rFonts w:hint="eastAsia" w:ascii="宋体" w:hAnsi="宋体" w:eastAsia="宋体" w:cs="宋体"/>
                <w:sz w:val="21"/>
                <w:szCs w:val="21"/>
                <w:lang w:val="en-US" w:eastAsia="zh-CN"/>
              </w:rPr>
              <w:t>.00元</w:t>
            </w:r>
          </w:p>
        </w:tc>
      </w:tr>
      <w:tr w14:paraId="1CFE5566">
        <w:tblPrEx>
          <w:tblCellMar>
            <w:top w:w="0" w:type="dxa"/>
            <w:left w:w="108" w:type="dxa"/>
            <w:bottom w:w="0" w:type="dxa"/>
            <w:right w:w="108" w:type="dxa"/>
          </w:tblCellMar>
        </w:tblPrEx>
        <w:trPr>
          <w:trHeight w:val="20" w:hRule="atLeast"/>
        </w:trPr>
        <w:tc>
          <w:tcPr>
            <w:tcW w:w="540" w:type="pct"/>
            <w:tcBorders>
              <w:top w:val="single" w:color="auto" w:sz="4" w:space="0"/>
              <w:left w:val="single" w:color="auto" w:sz="4" w:space="0"/>
              <w:bottom w:val="single" w:color="auto" w:sz="4" w:space="0"/>
              <w:right w:val="single" w:color="auto" w:sz="4" w:space="0"/>
            </w:tcBorders>
            <w:vAlign w:val="center"/>
          </w:tcPr>
          <w:p w14:paraId="2ADD29D2">
            <w:pPr>
              <w:ind w:left="-48" w:leftChars="-23" w:right="-48" w:rightChars="-23"/>
              <w:jc w:val="both"/>
              <w:rPr>
                <w:rFonts w:hint="eastAsia" w:ascii="宋体" w:hAnsi="宋体" w:eastAsia="宋体" w:cs="宋体"/>
                <w:sz w:val="21"/>
                <w:szCs w:val="21"/>
              </w:rPr>
            </w:pPr>
            <w:r>
              <w:rPr>
                <w:rFonts w:hint="eastAsia" w:ascii="宋体" w:hAnsi="宋体" w:eastAsia="宋体" w:cs="宋体"/>
                <w:sz w:val="21"/>
                <w:szCs w:val="21"/>
                <w:lang w:val="en-US" w:eastAsia="zh-CN"/>
              </w:rPr>
              <w:t>服务</w:t>
            </w:r>
            <w:r>
              <w:rPr>
                <w:rFonts w:hint="eastAsia" w:ascii="宋体" w:hAnsi="宋体" w:eastAsia="宋体" w:cs="宋体"/>
                <w:sz w:val="21"/>
                <w:szCs w:val="21"/>
              </w:rPr>
              <w:t>期</w:t>
            </w:r>
          </w:p>
        </w:tc>
        <w:tc>
          <w:tcPr>
            <w:tcW w:w="4459" w:type="pct"/>
            <w:gridSpan w:val="5"/>
            <w:tcBorders>
              <w:top w:val="single" w:color="auto" w:sz="4" w:space="0"/>
              <w:left w:val="single" w:color="auto" w:sz="4" w:space="0"/>
              <w:bottom w:val="single" w:color="auto" w:sz="4" w:space="0"/>
              <w:right w:val="single" w:color="auto" w:sz="4" w:space="0"/>
            </w:tcBorders>
            <w:vAlign w:val="center"/>
          </w:tcPr>
          <w:p w14:paraId="6E272BBF">
            <w:pPr>
              <w:ind w:right="-48" w:rightChars="-23"/>
              <w:rPr>
                <w:rFonts w:hint="eastAsia" w:ascii="宋体" w:hAnsi="宋体" w:eastAsia="宋体" w:cs="宋体"/>
                <w:sz w:val="21"/>
                <w:szCs w:val="21"/>
                <w:lang w:eastAsia="zh-CN"/>
              </w:rPr>
            </w:pPr>
            <w:r>
              <w:rPr>
                <w:rFonts w:hint="eastAsia" w:ascii="宋体" w:hAnsi="宋体" w:eastAsia="宋体" w:cs="宋体"/>
                <w:sz w:val="21"/>
                <w:szCs w:val="21"/>
                <w:u w:val="single"/>
                <w:lang w:val="en-US" w:eastAsia="zh-CN"/>
              </w:rPr>
              <w:t xml:space="preserve">  1   </w:t>
            </w:r>
            <w:r>
              <w:rPr>
                <w:rFonts w:hint="eastAsia" w:ascii="宋体" w:hAnsi="宋体" w:eastAsia="宋体" w:cs="宋体"/>
                <w:sz w:val="21"/>
                <w:szCs w:val="21"/>
              </w:rPr>
              <w:t>年</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合同签订之日起</w:t>
            </w:r>
            <w:bookmarkStart w:id="2" w:name="_GoBack"/>
            <w:bookmarkEnd w:id="2"/>
            <w:r>
              <w:rPr>
                <w:rFonts w:hint="eastAsia" w:ascii="宋体" w:hAnsi="宋体" w:eastAsia="宋体" w:cs="宋体"/>
                <w:sz w:val="21"/>
                <w:szCs w:val="21"/>
                <w:lang w:eastAsia="zh-CN"/>
              </w:rPr>
              <w:t>）</w:t>
            </w:r>
          </w:p>
        </w:tc>
      </w:tr>
    </w:tbl>
    <w:p w14:paraId="596F34CE">
      <w:pPr>
        <w:pStyle w:val="2"/>
        <w:numPr>
          <w:ilvl w:val="0"/>
          <w:numId w:val="1"/>
        </w:numPr>
        <w:tabs>
          <w:tab w:val="left" w:pos="360"/>
        </w:tabs>
        <w:spacing w:before="0" w:after="0" w:line="360" w:lineRule="auto"/>
        <w:ind w:left="616" w:hanging="616"/>
        <w:jc w:val="left"/>
        <w:rPr>
          <w:rFonts w:hint="eastAsia" w:ascii="宋体" w:hAnsi="宋体" w:eastAsia="宋体" w:cs="宋体"/>
          <w:bCs w:val="0"/>
          <w:color w:val="auto"/>
          <w:sz w:val="21"/>
          <w:szCs w:val="21"/>
          <w:lang w:val="zh-CN"/>
        </w:rPr>
      </w:pPr>
      <w:r>
        <w:rPr>
          <w:rFonts w:hint="eastAsia" w:ascii="宋体" w:hAnsi="宋体" w:eastAsia="宋体" w:cs="宋体"/>
          <w:bCs w:val="0"/>
          <w:color w:val="auto"/>
          <w:sz w:val="21"/>
          <w:szCs w:val="21"/>
          <w:lang w:val="en-US" w:eastAsia="zh-CN"/>
        </w:rPr>
        <w:t>采购需求</w:t>
      </w:r>
    </w:p>
    <w:p w14:paraId="13B7CF2A">
      <w:pPr>
        <w:pStyle w:val="10"/>
        <w:ind w:firstLine="0" w:firstLineChars="0"/>
        <w:rPr>
          <w:rFonts w:hint="eastAsia" w:ascii="宋体" w:hAnsi="宋体" w:eastAsia="宋体" w:cs="宋体"/>
          <w:b/>
          <w:sz w:val="21"/>
          <w:szCs w:val="21"/>
        </w:rPr>
      </w:pPr>
      <w:r>
        <w:rPr>
          <w:rFonts w:hint="eastAsia" w:ascii="宋体" w:hAnsi="宋体" w:eastAsia="宋体" w:cs="宋体"/>
          <w:b/>
          <w:sz w:val="21"/>
          <w:szCs w:val="21"/>
        </w:rPr>
        <w:t>1、</w:t>
      </w:r>
      <w:r>
        <w:rPr>
          <w:rFonts w:hint="eastAsia" w:ascii="宋体" w:hAnsi="宋体" w:eastAsia="宋体" w:cs="宋体"/>
          <w:b/>
          <w:sz w:val="21"/>
          <w:szCs w:val="21"/>
        </w:rPr>
        <w:t>技术要求</w:t>
      </w:r>
    </w:p>
    <w:bookmarkEnd w:id="0"/>
    <w:tbl>
      <w:tblPr>
        <w:tblStyle w:val="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4"/>
        <w:gridCol w:w="1885"/>
        <w:gridCol w:w="5801"/>
      </w:tblGrid>
      <w:tr w14:paraId="42CE8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489" w:type="pct"/>
            <w:tcBorders>
              <w:top w:val="single" w:color="auto" w:sz="4" w:space="0"/>
              <w:left w:val="single" w:color="auto" w:sz="4" w:space="0"/>
              <w:bottom w:val="single" w:color="auto" w:sz="4" w:space="0"/>
              <w:right w:val="single" w:color="auto" w:sz="4" w:space="0"/>
            </w:tcBorders>
            <w:vAlign w:val="center"/>
          </w:tcPr>
          <w:p w14:paraId="482739DB">
            <w:pPr>
              <w:spacing w:line="360" w:lineRule="auto"/>
              <w:jc w:val="center"/>
              <w:rPr>
                <w:rFonts w:hint="eastAsia" w:ascii="宋体" w:hAnsi="宋体" w:eastAsia="宋体" w:cs="宋体"/>
                <w:b/>
                <w:sz w:val="21"/>
                <w:szCs w:val="21"/>
              </w:rPr>
            </w:pPr>
            <w:r>
              <w:rPr>
                <w:rFonts w:hint="eastAsia" w:ascii="宋体" w:hAnsi="宋体" w:eastAsia="宋体" w:cs="宋体"/>
                <w:b/>
                <w:sz w:val="21"/>
                <w:szCs w:val="21"/>
              </w:rPr>
              <w:t>序号</w:t>
            </w:r>
          </w:p>
        </w:tc>
        <w:tc>
          <w:tcPr>
            <w:tcW w:w="1106" w:type="pct"/>
            <w:tcBorders>
              <w:top w:val="single" w:color="auto" w:sz="4" w:space="0"/>
              <w:left w:val="single" w:color="auto" w:sz="4" w:space="0"/>
              <w:bottom w:val="single" w:color="auto" w:sz="4" w:space="0"/>
              <w:right w:val="single" w:color="auto" w:sz="4" w:space="0"/>
            </w:tcBorders>
            <w:vAlign w:val="center"/>
          </w:tcPr>
          <w:p w14:paraId="6CFC2FB6">
            <w:pPr>
              <w:spacing w:line="360" w:lineRule="auto"/>
              <w:rPr>
                <w:rFonts w:hint="eastAsia" w:ascii="宋体" w:hAnsi="宋体" w:eastAsia="宋体" w:cs="宋体"/>
                <w:b/>
                <w:sz w:val="21"/>
                <w:szCs w:val="21"/>
              </w:rPr>
            </w:pPr>
            <w:r>
              <w:rPr>
                <w:rFonts w:hint="eastAsia" w:ascii="宋体" w:hAnsi="宋体" w:eastAsia="宋体" w:cs="宋体"/>
                <w:b/>
                <w:sz w:val="21"/>
                <w:szCs w:val="21"/>
              </w:rPr>
              <w:t>服务内容</w:t>
            </w:r>
          </w:p>
        </w:tc>
        <w:tc>
          <w:tcPr>
            <w:tcW w:w="3403" w:type="pct"/>
            <w:tcBorders>
              <w:top w:val="single" w:color="auto" w:sz="4" w:space="0"/>
              <w:left w:val="nil"/>
              <w:bottom w:val="single" w:color="auto" w:sz="4" w:space="0"/>
              <w:right w:val="single" w:color="auto" w:sz="4" w:space="0"/>
            </w:tcBorders>
            <w:vAlign w:val="center"/>
          </w:tcPr>
          <w:p w14:paraId="2E3E6E95">
            <w:pPr>
              <w:spacing w:line="360" w:lineRule="auto"/>
              <w:rPr>
                <w:rFonts w:hint="eastAsia" w:ascii="宋体" w:hAnsi="宋体" w:eastAsia="宋体" w:cs="宋体"/>
                <w:b/>
                <w:sz w:val="21"/>
                <w:szCs w:val="21"/>
              </w:rPr>
            </w:pPr>
            <w:r>
              <w:rPr>
                <w:rFonts w:hint="eastAsia" w:ascii="宋体" w:hAnsi="宋体" w:eastAsia="宋体" w:cs="宋体"/>
                <w:b/>
                <w:sz w:val="21"/>
                <w:szCs w:val="21"/>
              </w:rPr>
              <w:t>说明</w:t>
            </w:r>
          </w:p>
        </w:tc>
      </w:tr>
      <w:tr w14:paraId="0D4ED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trPr>
        <w:tc>
          <w:tcPr>
            <w:tcW w:w="489" w:type="pct"/>
            <w:tcBorders>
              <w:top w:val="single" w:color="auto" w:sz="4" w:space="0"/>
              <w:left w:val="single" w:color="auto" w:sz="4" w:space="0"/>
              <w:bottom w:val="single" w:color="auto" w:sz="4" w:space="0"/>
              <w:right w:val="single" w:color="auto" w:sz="4" w:space="0"/>
            </w:tcBorders>
            <w:vAlign w:val="center"/>
          </w:tcPr>
          <w:p w14:paraId="6B093B9C">
            <w:pPr>
              <w:spacing w:line="360" w:lineRule="auto"/>
              <w:jc w:val="center"/>
              <w:rPr>
                <w:rFonts w:hint="eastAsia" w:ascii="宋体" w:hAnsi="宋体" w:eastAsia="宋体" w:cs="宋体"/>
                <w:sz w:val="21"/>
                <w:szCs w:val="21"/>
              </w:rPr>
            </w:pPr>
            <w:r>
              <w:rPr>
                <w:rFonts w:hint="eastAsia" w:ascii="宋体" w:hAnsi="宋体" w:eastAsia="宋体" w:cs="宋体"/>
                <w:sz w:val="21"/>
                <w:szCs w:val="21"/>
              </w:rPr>
              <w:t>1</w:t>
            </w:r>
          </w:p>
        </w:tc>
        <w:tc>
          <w:tcPr>
            <w:tcW w:w="1106" w:type="pct"/>
            <w:tcBorders>
              <w:top w:val="single" w:color="auto" w:sz="4" w:space="0"/>
              <w:left w:val="single" w:color="auto" w:sz="4" w:space="0"/>
              <w:bottom w:val="single" w:color="auto" w:sz="4" w:space="0"/>
              <w:right w:val="single" w:color="auto" w:sz="4" w:space="0"/>
            </w:tcBorders>
            <w:vAlign w:val="center"/>
          </w:tcPr>
          <w:p w14:paraId="33769D8B">
            <w:pPr>
              <w:spacing w:line="360" w:lineRule="auto"/>
              <w:rPr>
                <w:rFonts w:hint="eastAsia" w:ascii="宋体" w:hAnsi="宋体" w:eastAsia="宋体" w:cs="宋体"/>
                <w:sz w:val="21"/>
                <w:szCs w:val="21"/>
              </w:rPr>
            </w:pPr>
            <w:r>
              <w:rPr>
                <w:rFonts w:hint="eastAsia" w:ascii="宋体" w:hAnsi="宋体" w:eastAsia="宋体" w:cs="宋体"/>
                <w:sz w:val="21"/>
                <w:szCs w:val="21"/>
              </w:rPr>
              <w:t>电话服务</w:t>
            </w:r>
          </w:p>
        </w:tc>
        <w:tc>
          <w:tcPr>
            <w:tcW w:w="3403" w:type="pct"/>
            <w:tcBorders>
              <w:top w:val="single" w:color="auto" w:sz="4" w:space="0"/>
              <w:left w:val="nil"/>
              <w:bottom w:val="single" w:color="auto" w:sz="4" w:space="0"/>
              <w:right w:val="single" w:color="auto" w:sz="4" w:space="0"/>
            </w:tcBorders>
            <w:vAlign w:val="center"/>
          </w:tcPr>
          <w:p w14:paraId="3122C026">
            <w:pPr>
              <w:spacing w:line="360" w:lineRule="auto"/>
              <w:rPr>
                <w:rFonts w:hint="eastAsia" w:ascii="宋体" w:hAnsi="宋体" w:eastAsia="宋体" w:cs="宋体"/>
                <w:sz w:val="21"/>
                <w:szCs w:val="21"/>
              </w:rPr>
            </w:pPr>
            <w:r>
              <w:rPr>
                <w:rFonts w:hint="eastAsia" w:ascii="宋体" w:hAnsi="宋体" w:eastAsia="宋体" w:cs="宋体"/>
                <w:sz w:val="21"/>
                <w:szCs w:val="21"/>
              </w:rPr>
              <w:t>甲方对检查预约系统软件操作有任何问题，致电</w:t>
            </w:r>
            <w:r>
              <w:rPr>
                <w:rFonts w:hint="eastAsia" w:ascii="宋体" w:hAnsi="宋体" w:eastAsia="宋体" w:cs="宋体"/>
                <w:sz w:val="21"/>
                <w:szCs w:val="21"/>
                <w:lang w:val="en-US" w:eastAsia="zh-CN"/>
              </w:rPr>
              <w:t>或微信等通讯方式告知</w:t>
            </w:r>
            <w:r>
              <w:rPr>
                <w:rFonts w:hint="eastAsia" w:ascii="宋体" w:hAnsi="宋体" w:eastAsia="宋体" w:cs="宋体"/>
                <w:sz w:val="21"/>
                <w:szCs w:val="21"/>
              </w:rPr>
              <w:t>乙方售后</w:t>
            </w:r>
            <w:r>
              <w:rPr>
                <w:rFonts w:hint="eastAsia" w:ascii="宋体" w:hAnsi="宋体" w:eastAsia="宋体" w:cs="宋体"/>
                <w:sz w:val="21"/>
                <w:szCs w:val="21"/>
                <w:lang w:val="en-US" w:eastAsia="zh-CN"/>
              </w:rPr>
              <w:t>工程师</w:t>
            </w:r>
            <w:r>
              <w:rPr>
                <w:rFonts w:hint="eastAsia" w:ascii="宋体" w:hAnsi="宋体" w:eastAsia="宋体" w:cs="宋体"/>
                <w:sz w:val="21"/>
                <w:szCs w:val="21"/>
              </w:rPr>
              <w:t>。乙方</w:t>
            </w:r>
            <w:r>
              <w:rPr>
                <w:rFonts w:hint="eastAsia" w:ascii="宋体" w:hAnsi="宋体" w:eastAsia="宋体" w:cs="宋体"/>
                <w:sz w:val="21"/>
                <w:szCs w:val="21"/>
                <w:lang w:val="en-US" w:eastAsia="zh-CN"/>
              </w:rPr>
              <w:t>工程师10分钟内予以回应并处理问题。</w:t>
            </w:r>
          </w:p>
        </w:tc>
      </w:tr>
      <w:tr w14:paraId="04D43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trPr>
        <w:tc>
          <w:tcPr>
            <w:tcW w:w="489" w:type="pct"/>
            <w:tcBorders>
              <w:top w:val="single" w:color="auto" w:sz="4" w:space="0"/>
              <w:left w:val="single" w:color="auto" w:sz="4" w:space="0"/>
              <w:bottom w:val="single" w:color="auto" w:sz="4" w:space="0"/>
              <w:right w:val="single" w:color="auto" w:sz="4" w:space="0"/>
            </w:tcBorders>
            <w:vAlign w:val="center"/>
          </w:tcPr>
          <w:p w14:paraId="150570CD">
            <w:pPr>
              <w:spacing w:line="360" w:lineRule="auto"/>
              <w:jc w:val="center"/>
              <w:rPr>
                <w:rFonts w:hint="eastAsia" w:ascii="宋体" w:hAnsi="宋体" w:eastAsia="宋体" w:cs="宋体"/>
                <w:sz w:val="21"/>
                <w:szCs w:val="21"/>
              </w:rPr>
            </w:pPr>
            <w:r>
              <w:rPr>
                <w:rFonts w:hint="eastAsia" w:ascii="宋体" w:hAnsi="宋体" w:eastAsia="宋体" w:cs="宋体"/>
                <w:sz w:val="21"/>
                <w:szCs w:val="21"/>
              </w:rPr>
              <w:t>2</w:t>
            </w:r>
          </w:p>
        </w:tc>
        <w:tc>
          <w:tcPr>
            <w:tcW w:w="1106" w:type="pct"/>
            <w:tcBorders>
              <w:top w:val="single" w:color="auto" w:sz="4" w:space="0"/>
              <w:left w:val="single" w:color="auto" w:sz="4" w:space="0"/>
              <w:bottom w:val="single" w:color="auto" w:sz="4" w:space="0"/>
              <w:right w:val="single" w:color="auto" w:sz="4" w:space="0"/>
            </w:tcBorders>
            <w:vAlign w:val="center"/>
          </w:tcPr>
          <w:p w14:paraId="4A1FC801">
            <w:pPr>
              <w:spacing w:line="360" w:lineRule="auto"/>
              <w:rPr>
                <w:rFonts w:hint="eastAsia" w:ascii="宋体" w:hAnsi="宋体" w:eastAsia="宋体" w:cs="宋体"/>
                <w:sz w:val="21"/>
                <w:szCs w:val="21"/>
              </w:rPr>
            </w:pPr>
            <w:r>
              <w:rPr>
                <w:rFonts w:hint="eastAsia" w:ascii="宋体" w:hAnsi="宋体" w:eastAsia="宋体" w:cs="宋体"/>
                <w:sz w:val="21"/>
                <w:szCs w:val="21"/>
              </w:rPr>
              <w:t>远程支持服务</w:t>
            </w:r>
          </w:p>
        </w:tc>
        <w:tc>
          <w:tcPr>
            <w:tcW w:w="3403" w:type="pct"/>
            <w:tcBorders>
              <w:top w:val="single" w:color="auto" w:sz="4" w:space="0"/>
              <w:left w:val="nil"/>
              <w:bottom w:val="single" w:color="auto" w:sz="4" w:space="0"/>
              <w:right w:val="single" w:color="auto" w:sz="4" w:space="0"/>
            </w:tcBorders>
            <w:vAlign w:val="center"/>
          </w:tcPr>
          <w:p w14:paraId="5C9414F9">
            <w:p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甲方在正常操作检查预约系统软件时发生软件问题，将视问题情况，在</w:t>
            </w:r>
            <w:r>
              <w:rPr>
                <w:rFonts w:hint="eastAsia" w:ascii="宋体" w:hAnsi="宋体" w:eastAsia="宋体" w:cs="宋体"/>
                <w:sz w:val="21"/>
                <w:szCs w:val="21"/>
                <w:lang w:val="en-US" w:eastAsia="zh-CN"/>
              </w:rPr>
              <w:t>1</w:t>
            </w:r>
            <w:r>
              <w:rPr>
                <w:rFonts w:hint="eastAsia" w:ascii="宋体" w:hAnsi="宋体" w:eastAsia="宋体" w:cs="宋体"/>
                <w:sz w:val="21"/>
                <w:szCs w:val="21"/>
              </w:rPr>
              <w:t>小时内</w:t>
            </w:r>
            <w:r>
              <w:rPr>
                <w:rFonts w:hint="eastAsia" w:ascii="宋体" w:hAnsi="宋体" w:eastAsia="宋体" w:cs="宋体"/>
                <w:sz w:val="21"/>
                <w:szCs w:val="21"/>
                <w:lang w:val="en-US" w:eastAsia="zh-CN"/>
              </w:rPr>
              <w:t>远程</w:t>
            </w:r>
            <w:r>
              <w:rPr>
                <w:rFonts w:hint="eastAsia" w:ascii="宋体" w:hAnsi="宋体" w:eastAsia="宋体" w:cs="宋体"/>
                <w:sz w:val="21"/>
                <w:szCs w:val="21"/>
              </w:rPr>
              <w:t>方式为甲方服务</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远程无法解决的问题，安排工程师2小时内到达现场处理。</w:t>
            </w:r>
          </w:p>
        </w:tc>
      </w:tr>
      <w:tr w14:paraId="3257C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trPr>
        <w:tc>
          <w:tcPr>
            <w:tcW w:w="489" w:type="pct"/>
            <w:tcBorders>
              <w:top w:val="single" w:color="auto" w:sz="4" w:space="0"/>
              <w:left w:val="single" w:color="auto" w:sz="4" w:space="0"/>
              <w:bottom w:val="single" w:color="auto" w:sz="4" w:space="0"/>
              <w:right w:val="single" w:color="auto" w:sz="4" w:space="0"/>
            </w:tcBorders>
            <w:vAlign w:val="center"/>
          </w:tcPr>
          <w:p w14:paraId="66602633">
            <w:pPr>
              <w:spacing w:line="360" w:lineRule="auto"/>
              <w:jc w:val="center"/>
              <w:rPr>
                <w:rFonts w:hint="eastAsia" w:ascii="宋体" w:hAnsi="宋体" w:eastAsia="宋体" w:cs="宋体"/>
                <w:sz w:val="21"/>
                <w:szCs w:val="21"/>
              </w:rPr>
            </w:pPr>
            <w:r>
              <w:rPr>
                <w:rFonts w:hint="eastAsia" w:ascii="宋体" w:hAnsi="宋体" w:eastAsia="宋体" w:cs="宋体"/>
                <w:sz w:val="21"/>
                <w:szCs w:val="21"/>
              </w:rPr>
              <w:t>3</w:t>
            </w:r>
          </w:p>
        </w:tc>
        <w:tc>
          <w:tcPr>
            <w:tcW w:w="1106" w:type="pct"/>
            <w:tcBorders>
              <w:top w:val="single" w:color="auto" w:sz="4" w:space="0"/>
              <w:left w:val="single" w:color="auto" w:sz="4" w:space="0"/>
              <w:bottom w:val="single" w:color="auto" w:sz="4" w:space="0"/>
              <w:right w:val="single" w:color="auto" w:sz="4" w:space="0"/>
            </w:tcBorders>
            <w:vAlign w:val="center"/>
          </w:tcPr>
          <w:p w14:paraId="235E3660">
            <w:pPr>
              <w:spacing w:line="360" w:lineRule="auto"/>
              <w:rPr>
                <w:rFonts w:hint="eastAsia" w:ascii="宋体" w:hAnsi="宋体" w:eastAsia="宋体" w:cs="宋体"/>
                <w:sz w:val="21"/>
                <w:szCs w:val="21"/>
              </w:rPr>
            </w:pPr>
            <w:r>
              <w:rPr>
                <w:rFonts w:hint="eastAsia" w:ascii="宋体" w:hAnsi="宋体" w:eastAsia="宋体" w:cs="宋体"/>
                <w:sz w:val="21"/>
                <w:szCs w:val="21"/>
              </w:rPr>
              <w:t>紧急支持服务</w:t>
            </w:r>
          </w:p>
        </w:tc>
        <w:tc>
          <w:tcPr>
            <w:tcW w:w="3403" w:type="pct"/>
            <w:tcBorders>
              <w:top w:val="single" w:color="auto" w:sz="4" w:space="0"/>
              <w:left w:val="nil"/>
              <w:bottom w:val="single" w:color="auto" w:sz="4" w:space="0"/>
              <w:right w:val="single" w:color="auto" w:sz="4" w:space="0"/>
            </w:tcBorders>
            <w:vAlign w:val="center"/>
          </w:tcPr>
          <w:p w14:paraId="4BC2D69C">
            <w:pPr>
              <w:spacing w:line="360" w:lineRule="auto"/>
              <w:rPr>
                <w:rFonts w:hint="eastAsia" w:ascii="宋体" w:hAnsi="宋体" w:eastAsia="宋体" w:cs="宋体"/>
                <w:sz w:val="21"/>
                <w:szCs w:val="21"/>
              </w:rPr>
            </w:pPr>
            <w:r>
              <w:rPr>
                <w:rFonts w:hint="eastAsia" w:ascii="宋体" w:hAnsi="宋体" w:eastAsia="宋体" w:cs="宋体"/>
                <w:sz w:val="21"/>
                <w:szCs w:val="21"/>
              </w:rPr>
              <w:t>甲方在非正常工作时间内出现问题，可致电乙方</w:t>
            </w:r>
            <w:r>
              <w:rPr>
                <w:rFonts w:hint="eastAsia" w:ascii="宋体" w:hAnsi="宋体" w:eastAsia="宋体" w:cs="宋体"/>
                <w:sz w:val="21"/>
                <w:szCs w:val="21"/>
                <w:lang w:val="en-US" w:eastAsia="zh-CN"/>
              </w:rPr>
              <w:t>实施工程师或负责人</w:t>
            </w:r>
            <w:r>
              <w:rPr>
                <w:rFonts w:hint="eastAsia" w:ascii="宋体" w:hAnsi="宋体" w:eastAsia="宋体" w:cs="宋体"/>
                <w:sz w:val="21"/>
                <w:szCs w:val="21"/>
              </w:rPr>
              <w:t>，</w:t>
            </w:r>
            <w:r>
              <w:rPr>
                <w:rFonts w:hint="eastAsia" w:ascii="宋体" w:hAnsi="宋体" w:eastAsia="宋体" w:cs="宋体"/>
                <w:sz w:val="21"/>
                <w:szCs w:val="21"/>
                <w:lang w:val="en-US" w:eastAsia="zh-CN"/>
              </w:rPr>
              <w:t>远程无法解决的问题，安排工程师2小时内到达现场处理。</w:t>
            </w:r>
          </w:p>
        </w:tc>
      </w:tr>
      <w:tr w14:paraId="74C2B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489" w:type="pct"/>
            <w:tcBorders>
              <w:top w:val="single" w:color="auto" w:sz="4" w:space="0"/>
              <w:left w:val="single" w:color="auto" w:sz="4" w:space="0"/>
              <w:bottom w:val="single" w:color="auto" w:sz="4" w:space="0"/>
              <w:right w:val="single" w:color="auto" w:sz="4" w:space="0"/>
            </w:tcBorders>
            <w:vAlign w:val="center"/>
          </w:tcPr>
          <w:p w14:paraId="2C8EFC60">
            <w:pPr>
              <w:spacing w:line="360" w:lineRule="auto"/>
              <w:jc w:val="center"/>
              <w:rPr>
                <w:rFonts w:hint="eastAsia" w:ascii="宋体" w:hAnsi="宋体" w:eastAsia="宋体" w:cs="宋体"/>
                <w:sz w:val="21"/>
                <w:szCs w:val="21"/>
              </w:rPr>
            </w:pPr>
            <w:r>
              <w:rPr>
                <w:rFonts w:hint="eastAsia" w:ascii="宋体" w:hAnsi="宋体" w:eastAsia="宋体" w:cs="宋体"/>
                <w:sz w:val="21"/>
                <w:szCs w:val="21"/>
              </w:rPr>
              <w:t>4</w:t>
            </w:r>
          </w:p>
        </w:tc>
        <w:tc>
          <w:tcPr>
            <w:tcW w:w="1106" w:type="pct"/>
            <w:tcBorders>
              <w:top w:val="single" w:color="auto" w:sz="4" w:space="0"/>
              <w:left w:val="single" w:color="auto" w:sz="4" w:space="0"/>
              <w:bottom w:val="single" w:color="auto" w:sz="4" w:space="0"/>
              <w:right w:val="single" w:color="auto" w:sz="4" w:space="0"/>
            </w:tcBorders>
            <w:vAlign w:val="center"/>
          </w:tcPr>
          <w:p w14:paraId="5584C58B">
            <w:p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软件</w:t>
            </w:r>
            <w:r>
              <w:rPr>
                <w:rFonts w:hint="eastAsia" w:ascii="宋体" w:hAnsi="宋体" w:eastAsia="宋体" w:cs="宋体"/>
                <w:sz w:val="21"/>
                <w:szCs w:val="21"/>
                <w:lang w:val="en-US" w:eastAsia="zh-CN"/>
              </w:rPr>
              <w:t>需求和</w:t>
            </w:r>
            <w:r>
              <w:rPr>
                <w:rFonts w:hint="eastAsia" w:ascii="宋体" w:hAnsi="宋体" w:eastAsia="宋体" w:cs="宋体"/>
                <w:sz w:val="21"/>
                <w:szCs w:val="21"/>
              </w:rPr>
              <w:t>BUG</w:t>
            </w:r>
            <w:r>
              <w:rPr>
                <w:rFonts w:hint="eastAsia" w:ascii="宋体" w:hAnsi="宋体" w:eastAsia="宋体" w:cs="宋体"/>
                <w:sz w:val="21"/>
                <w:szCs w:val="21"/>
                <w:lang w:val="en-US" w:eastAsia="zh-CN"/>
              </w:rPr>
              <w:t>改造</w:t>
            </w:r>
          </w:p>
        </w:tc>
        <w:tc>
          <w:tcPr>
            <w:tcW w:w="3403" w:type="pct"/>
            <w:tcBorders>
              <w:top w:val="single" w:color="auto" w:sz="4" w:space="0"/>
              <w:left w:val="nil"/>
              <w:bottom w:val="single" w:color="auto" w:sz="4" w:space="0"/>
              <w:right w:val="single" w:color="auto" w:sz="4" w:space="0"/>
            </w:tcBorders>
            <w:vAlign w:val="center"/>
          </w:tcPr>
          <w:p w14:paraId="1AC686E2">
            <w:p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在系统日常使用的过程中，根据用户反馈的问题及时进行故障修订，解决系统存在的bug。根据用户反馈的需求，对系统进行调整改造。及时解决系统功能、性能等方面的问题。</w:t>
            </w:r>
          </w:p>
        </w:tc>
      </w:tr>
      <w:tr w14:paraId="342BF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489" w:type="pct"/>
            <w:tcBorders>
              <w:top w:val="single" w:color="auto" w:sz="4" w:space="0"/>
              <w:left w:val="single" w:color="auto" w:sz="4" w:space="0"/>
              <w:bottom w:val="single" w:color="auto" w:sz="4" w:space="0"/>
              <w:right w:val="single" w:color="auto" w:sz="4" w:space="0"/>
            </w:tcBorders>
            <w:vAlign w:val="center"/>
          </w:tcPr>
          <w:p w14:paraId="51D244CF">
            <w:pPr>
              <w:spacing w:line="360" w:lineRule="auto"/>
              <w:jc w:val="center"/>
              <w:rPr>
                <w:rFonts w:hint="eastAsia" w:ascii="宋体" w:hAnsi="宋体" w:eastAsia="宋体" w:cs="宋体"/>
                <w:sz w:val="21"/>
                <w:szCs w:val="21"/>
              </w:rPr>
            </w:pPr>
            <w:r>
              <w:rPr>
                <w:rFonts w:hint="eastAsia" w:ascii="宋体" w:hAnsi="宋体" w:eastAsia="宋体" w:cs="宋体"/>
                <w:sz w:val="21"/>
                <w:szCs w:val="21"/>
              </w:rPr>
              <w:t>5</w:t>
            </w:r>
          </w:p>
        </w:tc>
        <w:tc>
          <w:tcPr>
            <w:tcW w:w="1106" w:type="pct"/>
            <w:tcBorders>
              <w:top w:val="single" w:color="auto" w:sz="4" w:space="0"/>
              <w:left w:val="single" w:color="auto" w:sz="4" w:space="0"/>
              <w:bottom w:val="single" w:color="auto" w:sz="4" w:space="0"/>
              <w:right w:val="single" w:color="auto" w:sz="4" w:space="0"/>
            </w:tcBorders>
            <w:vAlign w:val="center"/>
          </w:tcPr>
          <w:p w14:paraId="240F3F6B">
            <w:pPr>
              <w:spacing w:line="360" w:lineRule="auto"/>
              <w:rPr>
                <w:rFonts w:hint="eastAsia" w:ascii="宋体" w:hAnsi="宋体" w:eastAsia="宋体" w:cs="宋体"/>
                <w:sz w:val="21"/>
                <w:szCs w:val="21"/>
              </w:rPr>
            </w:pPr>
            <w:r>
              <w:rPr>
                <w:rFonts w:hint="eastAsia" w:ascii="宋体" w:hAnsi="宋体" w:eastAsia="宋体" w:cs="宋体"/>
                <w:sz w:val="21"/>
                <w:szCs w:val="21"/>
              </w:rPr>
              <w:t>协助排查故障</w:t>
            </w:r>
          </w:p>
        </w:tc>
        <w:tc>
          <w:tcPr>
            <w:tcW w:w="3403" w:type="pct"/>
            <w:tcBorders>
              <w:top w:val="single" w:color="auto" w:sz="4" w:space="0"/>
              <w:left w:val="nil"/>
              <w:bottom w:val="single" w:color="auto" w:sz="4" w:space="0"/>
              <w:right w:val="single" w:color="auto" w:sz="4" w:space="0"/>
            </w:tcBorders>
            <w:vAlign w:val="center"/>
          </w:tcPr>
          <w:p w14:paraId="12696964">
            <w:pPr>
              <w:spacing w:line="360" w:lineRule="auto"/>
              <w:rPr>
                <w:rFonts w:hint="eastAsia" w:ascii="宋体" w:hAnsi="宋体" w:eastAsia="宋体" w:cs="宋体"/>
                <w:sz w:val="21"/>
                <w:szCs w:val="21"/>
              </w:rPr>
            </w:pPr>
            <w:r>
              <w:rPr>
                <w:rFonts w:hint="eastAsia" w:ascii="宋体" w:hAnsi="宋体" w:eastAsia="宋体" w:cs="宋体"/>
                <w:sz w:val="21"/>
                <w:szCs w:val="21"/>
              </w:rPr>
              <w:t>协助排查非软件BUG引起的系统操作故障</w:t>
            </w:r>
            <w:r>
              <w:rPr>
                <w:rFonts w:hint="eastAsia" w:ascii="宋体" w:hAnsi="宋体" w:eastAsia="宋体" w:cs="宋体"/>
                <w:sz w:val="21"/>
                <w:szCs w:val="21"/>
              </w:rPr>
              <w:t>。</w:t>
            </w:r>
          </w:p>
        </w:tc>
      </w:tr>
      <w:tr w14:paraId="1C9E1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489" w:type="pct"/>
            <w:tcBorders>
              <w:top w:val="single" w:color="auto" w:sz="4" w:space="0"/>
              <w:left w:val="single" w:color="auto" w:sz="4" w:space="0"/>
              <w:bottom w:val="single" w:color="auto" w:sz="4" w:space="0"/>
              <w:right w:val="single" w:color="auto" w:sz="4" w:space="0"/>
            </w:tcBorders>
            <w:vAlign w:val="center"/>
          </w:tcPr>
          <w:p w14:paraId="27AEE593">
            <w:pPr>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w:t>
            </w:r>
          </w:p>
        </w:tc>
        <w:tc>
          <w:tcPr>
            <w:tcW w:w="1106" w:type="pct"/>
            <w:tcBorders>
              <w:top w:val="single" w:color="auto" w:sz="4" w:space="0"/>
              <w:left w:val="single" w:color="auto" w:sz="4" w:space="0"/>
              <w:bottom w:val="single" w:color="auto" w:sz="4" w:space="0"/>
              <w:right w:val="single" w:color="auto" w:sz="4" w:space="0"/>
            </w:tcBorders>
            <w:vAlign w:val="center"/>
          </w:tcPr>
          <w:p w14:paraId="4F77A76E">
            <w:p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日常维护</w:t>
            </w:r>
          </w:p>
        </w:tc>
        <w:tc>
          <w:tcPr>
            <w:tcW w:w="3403" w:type="pct"/>
            <w:tcBorders>
              <w:top w:val="single" w:color="auto" w:sz="4" w:space="0"/>
              <w:left w:val="nil"/>
              <w:bottom w:val="single" w:color="auto" w:sz="4" w:space="0"/>
              <w:right w:val="single" w:color="auto" w:sz="4" w:space="0"/>
            </w:tcBorders>
            <w:vAlign w:val="center"/>
          </w:tcPr>
          <w:p w14:paraId="2835F399">
            <w:p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根据院方日常工作需求，对系统号源、预约规则等，及时对系统进行调整。协助用户根据需要进行数据统计分析。</w:t>
            </w:r>
          </w:p>
        </w:tc>
      </w:tr>
      <w:tr w14:paraId="40177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6" w:hRule="atLeast"/>
        </w:trPr>
        <w:tc>
          <w:tcPr>
            <w:tcW w:w="489" w:type="pct"/>
            <w:tcBorders>
              <w:top w:val="single" w:color="auto" w:sz="4" w:space="0"/>
              <w:left w:val="single" w:color="auto" w:sz="4" w:space="0"/>
              <w:bottom w:val="single" w:color="auto" w:sz="4" w:space="0"/>
              <w:right w:val="single" w:color="auto" w:sz="4" w:space="0"/>
            </w:tcBorders>
            <w:vAlign w:val="center"/>
          </w:tcPr>
          <w:p w14:paraId="07B987EF">
            <w:pPr>
              <w:spacing w:line="360" w:lineRule="auto"/>
              <w:jc w:val="center"/>
              <w:rPr>
                <w:rFonts w:hint="eastAsia" w:ascii="宋体" w:hAnsi="宋体" w:eastAsia="宋体" w:cs="宋体"/>
                <w:sz w:val="21"/>
                <w:szCs w:val="21"/>
              </w:rPr>
            </w:pPr>
            <w:r>
              <w:rPr>
                <w:rFonts w:hint="eastAsia" w:ascii="宋体" w:hAnsi="宋体" w:eastAsia="宋体" w:cs="宋体"/>
                <w:sz w:val="21"/>
                <w:szCs w:val="21"/>
              </w:rPr>
              <w:t>6</w:t>
            </w:r>
          </w:p>
        </w:tc>
        <w:tc>
          <w:tcPr>
            <w:tcW w:w="1106" w:type="pct"/>
            <w:tcBorders>
              <w:top w:val="single" w:color="auto" w:sz="4" w:space="0"/>
              <w:left w:val="single" w:color="auto" w:sz="4" w:space="0"/>
              <w:bottom w:val="single" w:color="auto" w:sz="4" w:space="0"/>
              <w:right w:val="single" w:color="auto" w:sz="4" w:space="0"/>
            </w:tcBorders>
            <w:vAlign w:val="center"/>
          </w:tcPr>
          <w:p w14:paraId="7EA540E9">
            <w:pPr>
              <w:spacing w:line="360" w:lineRule="auto"/>
              <w:rPr>
                <w:rFonts w:hint="eastAsia" w:ascii="宋体" w:hAnsi="宋体" w:eastAsia="宋体" w:cs="宋体"/>
                <w:sz w:val="21"/>
                <w:szCs w:val="21"/>
              </w:rPr>
            </w:pPr>
            <w:r>
              <w:rPr>
                <w:rFonts w:hint="eastAsia" w:ascii="宋体" w:hAnsi="宋体" w:eastAsia="宋体" w:cs="宋体"/>
                <w:sz w:val="21"/>
                <w:szCs w:val="21"/>
              </w:rPr>
              <w:t>巡检服务</w:t>
            </w:r>
          </w:p>
        </w:tc>
        <w:tc>
          <w:tcPr>
            <w:tcW w:w="3403" w:type="pct"/>
            <w:tcBorders>
              <w:top w:val="single" w:color="auto" w:sz="4" w:space="0"/>
              <w:left w:val="nil"/>
              <w:bottom w:val="single" w:color="auto" w:sz="4" w:space="0"/>
              <w:right w:val="single" w:color="auto" w:sz="4" w:space="0"/>
            </w:tcBorders>
            <w:vAlign w:val="center"/>
          </w:tcPr>
          <w:p w14:paraId="6B41E472">
            <w:p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每月度、逢国家法定节假日等，于节假日前至少3日对系统进行巡检，巡检内容包括系统日志、磁盘、服务器计算资源，并提交巡检报告。</w:t>
            </w:r>
          </w:p>
        </w:tc>
      </w:tr>
    </w:tbl>
    <w:p w14:paraId="08561F13">
      <w:pPr>
        <w:rPr>
          <w:rFonts w:hint="eastAsia" w:ascii="宋体" w:hAnsi="宋体" w:eastAsia="宋体" w:cs="宋体"/>
          <w:sz w:val="21"/>
          <w:szCs w:val="21"/>
          <w:highlight w:val="none"/>
        </w:rPr>
      </w:pPr>
    </w:p>
    <w:p w14:paraId="64A570B0">
      <w:pPr>
        <w:pStyle w:val="10"/>
        <w:ind w:firstLine="0" w:firstLineChars="0"/>
        <w:rPr>
          <w:rFonts w:hint="eastAsia" w:ascii="宋体" w:hAnsi="宋体" w:eastAsia="宋体" w:cs="宋体"/>
          <w:sz w:val="21"/>
          <w:szCs w:val="21"/>
          <w:highlight w:val="none"/>
          <w:lang w:val="en-US" w:eastAsia="zh-CN"/>
        </w:rPr>
      </w:pPr>
      <w:r>
        <w:rPr>
          <w:rFonts w:hint="eastAsia" w:ascii="宋体" w:hAnsi="宋体" w:eastAsia="宋体" w:cs="宋体"/>
          <w:b/>
          <w:sz w:val="21"/>
          <w:szCs w:val="21"/>
          <w:highlight w:val="none"/>
        </w:rPr>
        <w:t>2、</w:t>
      </w:r>
      <w:r>
        <w:rPr>
          <w:rFonts w:hint="eastAsia" w:ascii="宋体" w:hAnsi="宋体" w:eastAsia="宋体" w:cs="宋体"/>
          <w:sz w:val="21"/>
          <w:szCs w:val="21"/>
          <w:highlight w:val="none"/>
          <w:lang w:val="en-US" w:eastAsia="zh-CN"/>
        </w:rPr>
        <w:t>维保服务要求</w:t>
      </w:r>
    </w:p>
    <w:p w14:paraId="078AFF05">
      <w:pPr>
        <w:numPr>
          <w:ilvl w:val="-1"/>
          <w:numId w:val="0"/>
        </w:numPr>
        <w:bidi w:val="0"/>
        <w:spacing w:line="360" w:lineRule="auto"/>
        <w:ind w:left="0" w:firstLine="420" w:firstLineChars="200"/>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w:t>
      </w:r>
      <w:r>
        <w:rPr>
          <w:rFonts w:hint="eastAsia" w:ascii="宋体" w:hAnsi="宋体" w:eastAsia="宋体" w:cs="宋体"/>
          <w:b w:val="0"/>
          <w:bCs w:val="0"/>
          <w:kern w:val="2"/>
          <w:sz w:val="21"/>
          <w:szCs w:val="21"/>
          <w:highlight w:val="none"/>
          <w:vertAlign w:val="baseline"/>
          <w:lang w:val="en-US" w:eastAsia="zh-CN" w:bidi="ar-SA"/>
        </w:rPr>
        <w:t>电话技术支持服务：提供7*24小时热线电话服务，工程师在线提供信息技术问题咨询和故障诊断。</w:t>
      </w:r>
      <w:r>
        <w:rPr>
          <w:rFonts w:hint="eastAsia" w:ascii="宋体" w:hAnsi="宋体" w:eastAsia="宋体" w:cs="宋体"/>
          <w:sz w:val="21"/>
          <w:szCs w:val="21"/>
          <w:highlight w:val="none"/>
          <w:lang w:val="en-US" w:eastAsia="zh-CN"/>
        </w:rPr>
        <w:t>。</w:t>
      </w:r>
    </w:p>
    <w:p w14:paraId="188F8BC5">
      <w:pPr>
        <w:numPr>
          <w:ilvl w:val="-1"/>
          <w:numId w:val="0"/>
        </w:numPr>
        <w:spacing w:line="360" w:lineRule="auto"/>
        <w:ind w:left="0" w:firstLine="420" w:firstLineChars="200"/>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w:t>
      </w:r>
      <w:r>
        <w:rPr>
          <w:rFonts w:hint="eastAsia" w:ascii="宋体" w:hAnsi="宋体" w:eastAsia="宋体" w:cs="宋体"/>
          <w:b w:val="0"/>
          <w:bCs w:val="0"/>
          <w:kern w:val="2"/>
          <w:sz w:val="21"/>
          <w:szCs w:val="21"/>
          <w:highlight w:val="none"/>
          <w:vertAlign w:val="baseline"/>
          <w:lang w:val="en-US" w:eastAsia="zh-CN" w:bidi="ar-SA"/>
        </w:rPr>
        <w:t>网络在线、Email技术支持服务：提供7*24小时网络在线、Email信息技术支持服务</w:t>
      </w:r>
      <w:r>
        <w:rPr>
          <w:rFonts w:hint="eastAsia" w:ascii="宋体" w:hAnsi="宋体" w:eastAsia="宋体" w:cs="宋体"/>
          <w:sz w:val="21"/>
          <w:szCs w:val="21"/>
          <w:highlight w:val="none"/>
          <w:lang w:val="en-US" w:eastAsia="zh-CN"/>
        </w:rPr>
        <w:t>。</w:t>
      </w:r>
    </w:p>
    <w:p w14:paraId="31D6A032">
      <w:pPr>
        <w:numPr>
          <w:ilvl w:val="-1"/>
          <w:numId w:val="0"/>
        </w:numPr>
        <w:spacing w:line="360" w:lineRule="auto"/>
        <w:ind w:left="0" w:firstLine="420" w:firstLineChars="200"/>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（3） 远程在线诊断和故障排除：对于电话咨询无法解决的问题，经医院信息科授权我公司工程师可通过远程登录医院网络系统进行系统维护和故障排除。</w:t>
      </w:r>
    </w:p>
    <w:p w14:paraId="555C09DC">
      <w:pPr>
        <w:numPr>
          <w:ilvl w:val="-1"/>
          <w:numId w:val="0"/>
        </w:numPr>
        <w:spacing w:line="360" w:lineRule="auto"/>
        <w:ind w:left="0" w:firstLine="420" w:firstLineChars="200"/>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（4）现场技术支持服务：对于电话、在线支持等方式无法解决的问题，根据医院的要求，我公司提供工程师现场故障诊断和排除服务，以确保系统能够尽快恢复运行。远程处理不了的问题24小时内上门服务。</w:t>
      </w:r>
    </w:p>
    <w:p w14:paraId="71681FA6">
      <w:pPr>
        <w:numPr>
          <w:ilvl w:val="-1"/>
          <w:numId w:val="0"/>
        </w:numPr>
        <w:spacing w:line="360" w:lineRule="auto"/>
        <w:ind w:left="0" w:firstLine="420" w:firstLineChars="200"/>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（5）根据医院的实际情况，制定各种应急维护方案。</w:t>
      </w:r>
    </w:p>
    <w:p w14:paraId="2181B1F0">
      <w:pPr>
        <w:numPr>
          <w:ilvl w:val="-1"/>
          <w:numId w:val="0"/>
        </w:numPr>
        <w:spacing w:line="360" w:lineRule="auto"/>
        <w:ind w:left="0" w:firstLine="420" w:firstLineChars="200"/>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（6）巡检服务：每年2次到客户现场检查系统模块运行情况，与客户维护人员沟通，提供常见问题的解决办法；</w:t>
      </w:r>
    </w:p>
    <w:p w14:paraId="3A0840D9">
      <w:pPr>
        <w:numPr>
          <w:ilvl w:val="-1"/>
          <w:numId w:val="0"/>
        </w:numPr>
        <w:spacing w:line="360" w:lineRule="auto"/>
        <w:ind w:left="0" w:firstLine="420" w:firstLineChars="200"/>
        <w:outlineLvl w:val="9"/>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（7）响应医院要求，在大型节假日期间安排对应工程师线上值班，保证节假日病理管理系统的正常运行。节假日期间，工程师提供远程服务。</w:t>
      </w:r>
    </w:p>
    <w:p w14:paraId="66DA7AD3">
      <w:pPr>
        <w:numPr>
          <w:ilvl w:val="-1"/>
          <w:numId w:val="0"/>
        </w:numPr>
        <w:spacing w:line="360" w:lineRule="auto"/>
        <w:ind w:left="0" w:firstLine="420" w:firstLineChars="200"/>
        <w:outlineLvl w:val="9"/>
        <w:rPr>
          <w:rFonts w:hint="eastAsia" w:ascii="宋体" w:hAnsi="宋体" w:eastAsia="宋体" w:cs="宋体"/>
          <w:sz w:val="21"/>
          <w:szCs w:val="21"/>
          <w:highlight w:val="yellow"/>
        </w:rPr>
      </w:pPr>
    </w:p>
    <w:p w14:paraId="467CFE68">
      <w:pPr>
        <w:rPr>
          <w:rFonts w:hint="eastAsia" w:ascii="宋体" w:hAnsi="宋体" w:eastAsia="宋体" w:cs="宋体"/>
          <w:sz w:val="21"/>
          <w:szCs w:val="21"/>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BE5779A"/>
    <w:multiLevelType w:val="multilevel"/>
    <w:tmpl w:val="0BE5779A"/>
    <w:lvl w:ilvl="0" w:tentative="0">
      <w:start w:val="1"/>
      <w:numFmt w:val="decimal"/>
      <w:lvlText w:val="%1"/>
      <w:lvlJc w:val="left"/>
      <w:pPr>
        <w:ind w:left="420" w:hanging="420"/>
      </w:pPr>
      <w:rPr>
        <w:rFonts w:hint="default" w:ascii="宋体" w:hAnsi="宋体" w:eastAsia="宋体"/>
        <w:b/>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336853BA"/>
    <w:multiLevelType w:val="multilevel"/>
    <w:tmpl w:val="336853BA"/>
    <w:lvl w:ilvl="0" w:tentative="0">
      <w:start w:val="1"/>
      <w:numFmt w:val="chineseCountingThousand"/>
      <w:lvlText w:val="%1、"/>
      <w:lvlJc w:val="left"/>
      <w:pPr>
        <w:ind w:left="420" w:hanging="420"/>
      </w:pPr>
      <w:rPr>
        <w:rFonts w:hint="eastAsia"/>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7"/>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BkMmIyMDM4NjU2OTUyYmFmMGFiOTc2OTI0ZGY3Y2UifQ=="/>
  </w:docVars>
  <w:rsids>
    <w:rsidRoot w:val="5E96776E"/>
    <w:rsid w:val="000C5A0F"/>
    <w:rsid w:val="0C6E02C3"/>
    <w:rsid w:val="16A3726F"/>
    <w:rsid w:val="186C311D"/>
    <w:rsid w:val="1E2A40E0"/>
    <w:rsid w:val="20C22534"/>
    <w:rsid w:val="23B343B6"/>
    <w:rsid w:val="29F97EF8"/>
    <w:rsid w:val="2B824F1D"/>
    <w:rsid w:val="2BCB356A"/>
    <w:rsid w:val="2EBF62CD"/>
    <w:rsid w:val="316F78B4"/>
    <w:rsid w:val="36173AB9"/>
    <w:rsid w:val="38F87EDC"/>
    <w:rsid w:val="3B095180"/>
    <w:rsid w:val="3B0C0B24"/>
    <w:rsid w:val="428E0070"/>
    <w:rsid w:val="469A649A"/>
    <w:rsid w:val="4F6076BA"/>
    <w:rsid w:val="51AE6A6B"/>
    <w:rsid w:val="53084F8A"/>
    <w:rsid w:val="546E2616"/>
    <w:rsid w:val="5C4C74DD"/>
    <w:rsid w:val="5E6F2E7E"/>
    <w:rsid w:val="5E96776E"/>
    <w:rsid w:val="5F820FCF"/>
    <w:rsid w:val="610A53FA"/>
    <w:rsid w:val="677C11CD"/>
    <w:rsid w:val="71FF3ED6"/>
    <w:rsid w:val="75A77847"/>
    <w:rsid w:val="77517822"/>
    <w:rsid w:val="7A5C5351"/>
    <w:rsid w:val="7FAB23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qFormat="1" w:unhideWhenUsed="0" w:uiPriority="0" w:semiHidden="0" w:name="annotation text"/>
    <w:lsdException w:qFormat="1"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Arial" w:hAnsi="Arial" w:eastAsia="宋体" w:cs="Times New Roman"/>
      <w:sz w:val="21"/>
      <w:szCs w:val="21"/>
      <w:lang w:val="en-US" w:eastAsia="zh-CN" w:bidi="ar-SA"/>
    </w:rPr>
  </w:style>
  <w:style w:type="paragraph" w:styleId="2">
    <w:name w:val="heading 2"/>
    <w:basedOn w:val="1"/>
    <w:next w:val="1"/>
    <w:unhideWhenUsed/>
    <w:qFormat/>
    <w:uiPriority w:val="9"/>
    <w:pPr>
      <w:widowControl w:val="0"/>
      <w:spacing w:before="200" w:after="200" w:line="300" w:lineRule="exact"/>
      <w:jc w:val="center"/>
      <w:outlineLvl w:val="1"/>
    </w:pPr>
    <w:rPr>
      <w:rFonts w:ascii="宋体" w:hAnsi="宋体" w:cstheme="majorBidi"/>
      <w:b/>
      <w:bCs/>
      <w:iCs/>
      <w:color w:val="000000" w:themeColor="text1"/>
      <w:kern w:val="2"/>
      <w:sz w:val="28"/>
      <w:szCs w:val="28"/>
      <w14:textFill>
        <w14:solidFill>
          <w14:schemeClr w14:val="tx1"/>
        </w14:solidFill>
      </w14:textFill>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Normal Indent"/>
    <w:basedOn w:val="1"/>
    <w:unhideWhenUsed/>
    <w:qFormat/>
    <w:uiPriority w:val="0"/>
    <w:pPr>
      <w:widowControl w:val="0"/>
      <w:ind w:firstLine="420" w:firstLineChars="200"/>
    </w:pPr>
    <w:rPr>
      <w:kern w:val="2"/>
      <w:szCs w:val="24"/>
    </w:rPr>
  </w:style>
  <w:style w:type="paragraph" w:styleId="4">
    <w:name w:val="annotation text"/>
    <w:basedOn w:val="1"/>
    <w:qFormat/>
    <w:uiPriority w:val="0"/>
    <w:pPr>
      <w:jc w:val="left"/>
    </w:pPr>
  </w:style>
  <w:style w:type="paragraph" w:styleId="5">
    <w:name w:val="Body Text"/>
    <w:basedOn w:val="1"/>
    <w:qFormat/>
    <w:uiPriority w:val="99"/>
    <w:pPr>
      <w:widowControl/>
      <w:jc w:val="left"/>
    </w:pPr>
    <w:rPr>
      <w:rFonts w:ascii="Arial" w:hAnsi="Arial" w:eastAsia="宋体" w:cs="Times New Roman"/>
      <w:kern w:val="0"/>
      <w:sz w:val="20"/>
      <w:szCs w:val="20"/>
      <w:lang w:val="de-DE" w:eastAsia="en-US"/>
    </w:rPr>
  </w:style>
  <w:style w:type="paragraph" w:styleId="6">
    <w:name w:val="header"/>
    <w:basedOn w:val="1"/>
    <w:unhideWhenUsed/>
    <w:qFormat/>
    <w:uiPriority w:val="0"/>
    <w:pPr>
      <w:pBdr>
        <w:bottom w:val="single" w:color="auto" w:sz="6" w:space="1"/>
      </w:pBdr>
      <w:tabs>
        <w:tab w:val="center" w:pos="4153"/>
        <w:tab w:val="right" w:pos="8306"/>
      </w:tabs>
      <w:snapToGrid w:val="0"/>
      <w:jc w:val="center"/>
    </w:pPr>
    <w:rPr>
      <w:sz w:val="18"/>
      <w:szCs w:val="18"/>
    </w:rPr>
  </w:style>
  <w:style w:type="character" w:styleId="9">
    <w:name w:val="Hyperlink"/>
    <w:basedOn w:val="8"/>
    <w:qFormat/>
    <w:uiPriority w:val="0"/>
    <w:rPr>
      <w:color w:val="0000FF"/>
      <w:u w:val="single"/>
    </w:rPr>
  </w:style>
  <w:style w:type="paragraph" w:customStyle="1" w:styleId="10">
    <w:name w:val="*正文"/>
    <w:basedOn w:val="1"/>
    <w:qFormat/>
    <w:uiPriority w:val="0"/>
    <w:pPr>
      <w:spacing w:line="300" w:lineRule="auto"/>
      <w:ind w:firstLine="480" w:firstLineChars="200"/>
    </w:pPr>
    <w:rPr>
      <w:rFonts w:ascii="宋体" w:hAnsi="宋体"/>
      <w:sz w:val="24"/>
    </w:rPr>
  </w:style>
  <w:style w:type="paragraph" w:styleId="11">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1113</Words>
  <Characters>1155</Characters>
  <Lines>0</Lines>
  <Paragraphs>0</Paragraphs>
  <TotalTime>2</TotalTime>
  <ScaleCrop>false</ScaleCrop>
  <LinksUpToDate>false</LinksUpToDate>
  <CharactersWithSpaces>1198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2023-05-16T07:55:00Z</dcterms:created>
  <dc:creator>WPS</dc:creator>
  <cp:lastModifiedBy>桂明</cp:lastModifiedBy>
  <dcterms:modified xsi:type="dcterms:W3CDTF">2026-09-28T01:06:31Z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41A6CEB146C44DBAB2943418C8C71194_13</vt:lpwstr>
  </property>
  <property fmtid="{D5CDD505-2E9C-101B-9397-08002B2CF9AE}" pid="4" name="KSOTemplateDocerSaveRecord">
    <vt:lpwstr>eyJoZGlkIjoiMzlmMDI2MjJkZTk1YTZmYWVmMjlmYzNmOTZhMmRlZjIiLCJ1c2VySWQiOiIxNjk2OTc0NjU2In0=</vt:lpwstr>
  </property>
</Properties>
</file>