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B96759">
      <w:pPr>
        <w:spacing w:after="120" w:line="276" w:lineRule="auto"/>
        <w:jc w:val="center"/>
        <w:rPr>
          <w:rFonts w:ascii="宋体" w:hAnsi="宋体" w:eastAsia="宋体" w:cs="宋体"/>
          <w:b/>
          <w:bCs/>
          <w:color w:val="333333"/>
          <w:sz w:val="44"/>
          <w:szCs w:val="44"/>
        </w:rPr>
      </w:pPr>
      <w:r>
        <w:rPr>
          <w:rFonts w:ascii="宋体" w:hAnsi="宋体" w:eastAsia="宋体" w:cs="宋体"/>
          <w:b/>
          <w:bCs/>
          <w:color w:val="333333"/>
          <w:sz w:val="44"/>
          <w:szCs w:val="44"/>
        </w:rPr>
        <w:t>医院信息系统网络安全等级保护测评服务</w:t>
      </w:r>
    </w:p>
    <w:p w14:paraId="7EE67A17">
      <w:pPr>
        <w:spacing w:after="120" w:line="276" w:lineRule="auto"/>
        <w:jc w:val="center"/>
      </w:pPr>
      <w:r>
        <w:rPr>
          <w:rFonts w:ascii="宋体" w:hAnsi="宋体" w:eastAsia="宋体" w:cs="宋体"/>
          <w:b/>
          <w:bCs/>
          <w:color w:val="333333"/>
          <w:sz w:val="44"/>
          <w:szCs w:val="44"/>
        </w:rPr>
        <w:t>采购需求</w:t>
      </w:r>
    </w:p>
    <w:p w14:paraId="5509C6FC">
      <w:pPr>
        <w:spacing w:after="80" w:line="276" w:lineRule="auto"/>
        <w:jc w:val="center"/>
      </w:pPr>
      <w:r>
        <w:rPr>
          <w:rFonts w:ascii="宋体" w:hAnsi="宋体" w:eastAsia="宋体" w:cs="宋体"/>
          <w:b w:val="0"/>
          <w:bCs w:val="0"/>
          <w:color w:val="333333"/>
          <w:sz w:val="32"/>
          <w:szCs w:val="32"/>
        </w:rPr>
        <w:t>武汉市肺科医院（武汉市结核病防治所）</w:t>
      </w:r>
    </w:p>
    <w:p w14:paraId="379E227A">
      <w:pPr>
        <w:spacing w:before="40" w:after="480" w:line="276" w:lineRule="auto"/>
        <w:jc w:val="center"/>
      </w:pPr>
      <w:r>
        <w:rPr>
          <w:rFonts w:ascii="宋体" w:hAnsi="宋体" w:eastAsia="宋体" w:cs="宋体"/>
          <w:b w:val="0"/>
          <w:bCs w:val="0"/>
          <w:color w:val="333333"/>
          <w:sz w:val="28"/>
          <w:szCs w:val="28"/>
        </w:rPr>
        <w:t>2026年6月</w:t>
      </w:r>
    </w:p>
    <w:p w14:paraId="45F65138">
      <w:pPr>
        <w:pStyle w:val="2"/>
        <w:spacing w:before="360" w:after="160" w:line="276" w:lineRule="auto"/>
        <w:jc w:val="left"/>
      </w:pPr>
      <w:r>
        <w:rPr>
          <w:rFonts w:ascii="黑体" w:hAnsi="黑体" w:eastAsia="黑体" w:cs="黑体"/>
          <w:b/>
          <w:bCs/>
          <w:color w:val="333333"/>
          <w:sz w:val="44"/>
          <w:szCs w:val="44"/>
        </w:rPr>
        <w:t>一、项目概况</w:t>
      </w:r>
    </w:p>
    <w:p w14:paraId="3F73A04D">
      <w:pPr>
        <w:pStyle w:val="3"/>
        <w:spacing w:before="240" w:after="120" w:line="276" w:lineRule="auto"/>
        <w:jc w:val="left"/>
      </w:pPr>
      <w:r>
        <w:rPr>
          <w:rFonts w:ascii="黑体" w:hAnsi="黑体" w:eastAsia="黑体" w:cs="黑体"/>
          <w:b/>
          <w:bCs/>
          <w:color w:val="333333"/>
          <w:sz w:val="36"/>
          <w:szCs w:val="36"/>
        </w:rPr>
        <w:t>1.1 项目背景</w:t>
      </w:r>
    </w:p>
    <w:p w14:paraId="4DF56F52">
      <w:pPr>
        <w:keepNext w:val="0"/>
        <w:keepLines w:val="0"/>
        <w:pageBreakBefore w:val="0"/>
        <w:widowControl/>
        <w:kinsoku/>
        <w:wordWrap/>
        <w:overflowPunct/>
        <w:topLinePunct w:val="0"/>
        <w:autoSpaceDE/>
        <w:autoSpaceDN/>
        <w:bidi w:val="0"/>
        <w:adjustRightInd/>
        <w:snapToGrid/>
        <w:spacing w:after="80" w:line="560" w:lineRule="exact"/>
        <w:ind w:firstLine="482"/>
        <w:jc w:val="left"/>
        <w:textAlignment w:val="auto"/>
        <w:rPr>
          <w:sz w:val="28"/>
          <w:szCs w:val="28"/>
        </w:rPr>
      </w:pPr>
      <w:r>
        <w:rPr>
          <w:rFonts w:ascii="宋体" w:hAnsi="宋体" w:eastAsia="宋体" w:cs="宋体"/>
          <w:b w:val="0"/>
          <w:bCs w:val="0"/>
          <w:color w:val="333333"/>
          <w:sz w:val="28"/>
          <w:szCs w:val="28"/>
        </w:rPr>
        <w:t>为落实《中华人民共和国网络安全法》、网络安全等级保护2.0（GB/T 22239-2019）及国家卫生健康委《医疗卫生机构网络安全管理办法》（国卫规划发〔2022〕29号）相关要求，确保武汉市肺科医院信息系统安全稳定运行，满足网络安全等级保护三级（等保2.0）的合规要求，现开展武汉市肺科医院2026年度医院信息系统网络安全等级保护测评服务采购工作。</w:t>
      </w:r>
    </w:p>
    <w:p w14:paraId="55C34E2A">
      <w:pPr>
        <w:keepNext w:val="0"/>
        <w:keepLines w:val="0"/>
        <w:pageBreakBefore w:val="0"/>
        <w:widowControl/>
        <w:kinsoku/>
        <w:wordWrap/>
        <w:overflowPunct/>
        <w:topLinePunct w:val="0"/>
        <w:autoSpaceDE/>
        <w:autoSpaceDN/>
        <w:bidi w:val="0"/>
        <w:adjustRightInd/>
        <w:snapToGrid/>
        <w:spacing w:after="80" w:line="560" w:lineRule="exact"/>
        <w:ind w:firstLine="482"/>
        <w:jc w:val="left"/>
        <w:textAlignment w:val="auto"/>
        <w:rPr>
          <w:sz w:val="28"/>
          <w:szCs w:val="28"/>
        </w:rPr>
      </w:pPr>
      <w:r>
        <w:rPr>
          <w:rFonts w:ascii="宋体" w:hAnsi="宋体" w:eastAsia="宋体" w:cs="宋体"/>
          <w:b w:val="0"/>
          <w:bCs w:val="0"/>
          <w:color w:val="333333"/>
          <w:sz w:val="28"/>
          <w:szCs w:val="28"/>
        </w:rPr>
        <w:t>武汉市肺科医院已建成HIS、EMR、LIS、PACS、集成平台、互联网医院、数智化病理系统</w:t>
      </w:r>
      <w:r>
        <w:rPr>
          <w:rFonts w:hint="eastAsia" w:cs="宋体"/>
          <w:b w:val="0"/>
          <w:bCs w:val="0"/>
          <w:color w:val="333333"/>
          <w:sz w:val="28"/>
          <w:szCs w:val="28"/>
          <w:lang w:eastAsia="zh-CN"/>
        </w:rPr>
        <w:t>、</w:t>
      </w:r>
      <w:r>
        <w:rPr>
          <w:rFonts w:ascii="宋体" w:hAnsi="宋体" w:eastAsia="宋体" w:cs="宋体"/>
          <w:b w:val="0"/>
          <w:bCs w:val="0"/>
          <w:color w:val="333333"/>
          <w:sz w:val="28"/>
          <w:szCs w:val="28"/>
        </w:rPr>
        <w:t>医院官网</w:t>
      </w:r>
      <w:r>
        <w:rPr>
          <w:rFonts w:hint="eastAsia" w:cs="宋体"/>
          <w:b w:val="0"/>
          <w:bCs w:val="0"/>
          <w:color w:val="333333"/>
          <w:sz w:val="28"/>
          <w:szCs w:val="28"/>
          <w:lang w:val="en-US" w:eastAsia="zh-CN"/>
        </w:rPr>
        <w:t>等多个信息系统</w:t>
      </w:r>
      <w:r>
        <w:rPr>
          <w:rFonts w:ascii="宋体" w:hAnsi="宋体" w:eastAsia="宋体" w:cs="宋体"/>
          <w:b w:val="0"/>
          <w:bCs w:val="0"/>
          <w:color w:val="333333"/>
          <w:sz w:val="28"/>
          <w:szCs w:val="28"/>
        </w:rPr>
        <w:t>。其中核心业务系统（HIS、LIS、PACS、EMR、集成平台、互联网医院）按照等保三级要求进行安全防护，数智化病理系统及医院网站按照等保二级要求进行安全防护。为确保以上系统持续满足等保合规要求，需委托具有资质的专业测评机构开展网络安全等级保护测评工作。</w:t>
      </w:r>
    </w:p>
    <w:p w14:paraId="6F449B63">
      <w:pPr>
        <w:pStyle w:val="3"/>
        <w:spacing w:before="240" w:after="120" w:line="276" w:lineRule="auto"/>
        <w:jc w:val="left"/>
      </w:pPr>
      <w:r>
        <w:rPr>
          <w:rFonts w:ascii="黑体" w:hAnsi="黑体" w:eastAsia="黑体" w:cs="黑体"/>
          <w:b/>
          <w:bCs/>
          <w:color w:val="333333"/>
          <w:sz w:val="36"/>
          <w:szCs w:val="36"/>
        </w:rPr>
        <w:t>1.2 项目目标</w:t>
      </w:r>
    </w:p>
    <w:p w14:paraId="7888113F">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协助采购人完成信息系统网络安全等级保护的定级、备案工作，取得公安机关颁发的备案证明；</w:t>
      </w:r>
    </w:p>
    <w:p w14:paraId="25561FA2">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依据GB/T 22239-2019等国家标准，对采购人指定的8个信息系统开展全面的等级保护测评，出具符合公安部门要求的《网络安全等级保护测评报告》；</w:t>
      </w:r>
    </w:p>
    <w:p w14:paraId="544CB883">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通过差距分析，识别各信息系统在安全技术（安全物理环境、安全通信网络、安全区域边界、安全计算环境、安全管理中心）和安全管理（安全管理制度、安全管理机构、安全管理人员、安全建设管理、安全运维管理）方面存在的不足；</w:t>
      </w:r>
    </w:p>
    <w:p w14:paraId="5A1C5BD7">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针对测评中发现的不符合项，提出切实可行的安全整改建议，编制整改方案，指导采购人完成整改工作；</w:t>
      </w:r>
    </w:p>
    <w:p w14:paraId="406AD89B">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确保采购人核心业务系统满足网络安全等级保护三级要求，支撑医院信息化建设、互联互通测评及电子病历评级工作。</w:t>
      </w:r>
    </w:p>
    <w:p w14:paraId="36F9BCB4">
      <w:pPr>
        <w:pStyle w:val="3"/>
        <w:spacing w:before="240" w:after="120" w:line="276" w:lineRule="auto"/>
        <w:jc w:val="left"/>
      </w:pPr>
      <w:r>
        <w:rPr>
          <w:rFonts w:ascii="黑体" w:hAnsi="黑体" w:eastAsia="黑体" w:cs="黑体"/>
          <w:b/>
          <w:bCs/>
          <w:color w:val="333333"/>
          <w:sz w:val="36"/>
          <w:szCs w:val="36"/>
        </w:rPr>
        <w:t>1.3 服务期限</w:t>
      </w:r>
    </w:p>
    <w:p w14:paraId="723DCD8F">
      <w:pPr>
        <w:keepNext w:val="0"/>
        <w:keepLines w:val="0"/>
        <w:pageBreakBefore w:val="0"/>
        <w:widowControl/>
        <w:kinsoku/>
        <w:wordWrap/>
        <w:overflowPunct/>
        <w:topLinePunct w:val="0"/>
        <w:autoSpaceDE/>
        <w:autoSpaceDN/>
        <w:bidi w:val="0"/>
        <w:adjustRightInd/>
        <w:snapToGrid/>
        <w:spacing w:after="80" w:line="560" w:lineRule="exact"/>
        <w:ind w:firstLine="482"/>
        <w:jc w:val="both"/>
        <w:textAlignment w:val="auto"/>
      </w:pPr>
      <w:r>
        <w:rPr>
          <w:rFonts w:ascii="宋体" w:hAnsi="宋体" w:eastAsia="宋体"/>
          <w:b w:val="0"/>
          <w:color w:val="auto"/>
          <w:sz w:val="28"/>
        </w:rPr>
        <w:t>自</w:t>
      </w:r>
      <w:r>
        <w:rPr>
          <w:rFonts w:hint="eastAsia" w:ascii="宋体" w:hAnsi="宋体" w:eastAsia="宋体"/>
          <w:b w:val="0"/>
          <w:color w:val="auto"/>
          <w:sz w:val="28"/>
          <w:lang w:val="en-US" w:eastAsia="zh-CN"/>
        </w:rPr>
        <w:t>采购人</w:t>
      </w:r>
      <w:r>
        <w:rPr>
          <w:rFonts w:ascii="宋体" w:hAnsi="宋体" w:eastAsia="宋体"/>
          <w:b w:val="0"/>
          <w:color w:val="auto"/>
          <w:sz w:val="28"/>
        </w:rPr>
        <w:t>书面通知开工之日起计算12个月。</w:t>
      </w:r>
    </w:p>
    <w:p w14:paraId="77258F6D">
      <w:pPr>
        <w:pStyle w:val="3"/>
        <w:spacing w:before="240" w:after="120" w:line="276" w:lineRule="auto"/>
        <w:jc w:val="left"/>
      </w:pPr>
      <w:r>
        <w:rPr>
          <w:rFonts w:ascii="黑体" w:hAnsi="黑体" w:eastAsia="黑体" w:cs="黑体"/>
          <w:b/>
          <w:bCs/>
          <w:color w:val="333333"/>
          <w:sz w:val="36"/>
          <w:szCs w:val="36"/>
        </w:rPr>
        <w:t>1.4 预算金额</w:t>
      </w:r>
    </w:p>
    <w:p w14:paraId="061DB73D">
      <w:pPr>
        <w:keepNext w:val="0"/>
        <w:keepLines w:val="0"/>
        <w:pageBreakBefore w:val="0"/>
        <w:widowControl/>
        <w:kinsoku/>
        <w:wordWrap/>
        <w:overflowPunct/>
        <w:topLinePunct w:val="0"/>
        <w:autoSpaceDE/>
        <w:autoSpaceDN/>
        <w:bidi w:val="0"/>
        <w:adjustRightInd/>
        <w:snapToGrid/>
        <w:spacing w:after="80" w:line="560" w:lineRule="exact"/>
        <w:ind w:firstLine="482"/>
        <w:jc w:val="both"/>
        <w:textAlignment w:val="auto"/>
      </w:pPr>
      <w:r>
        <w:rPr>
          <w:rFonts w:ascii="宋体" w:hAnsi="宋体" w:eastAsia="宋体" w:cs="宋体"/>
          <w:b w:val="0"/>
          <w:bCs w:val="0"/>
          <w:color w:val="333333"/>
          <w:sz w:val="28"/>
          <w:szCs w:val="28"/>
        </w:rPr>
        <w:t>预算金额：人民币叁拾伍万元整（¥350,000.00，含税全包价）。</w:t>
      </w:r>
    </w:p>
    <w:p w14:paraId="70014946">
      <w:pPr>
        <w:pStyle w:val="2"/>
        <w:spacing w:before="360" w:after="160" w:line="276" w:lineRule="auto"/>
        <w:jc w:val="left"/>
      </w:pPr>
      <w:r>
        <w:rPr>
          <w:rFonts w:ascii="黑体" w:hAnsi="黑体" w:eastAsia="黑体" w:cs="黑体"/>
          <w:b/>
          <w:bCs/>
          <w:color w:val="333333"/>
          <w:sz w:val="44"/>
          <w:szCs w:val="44"/>
        </w:rPr>
        <w:t>二、采购内容与测评范围</w:t>
      </w:r>
    </w:p>
    <w:p w14:paraId="6FBE456A">
      <w:pPr>
        <w:pStyle w:val="3"/>
        <w:spacing w:before="240" w:after="120" w:line="276" w:lineRule="auto"/>
        <w:jc w:val="left"/>
      </w:pPr>
      <w:r>
        <w:rPr>
          <w:rFonts w:ascii="黑体" w:hAnsi="黑体" w:eastAsia="黑体" w:cs="黑体"/>
          <w:b/>
          <w:bCs/>
          <w:color w:val="333333"/>
          <w:sz w:val="36"/>
          <w:szCs w:val="36"/>
        </w:rPr>
        <w:t>2.1 采购内容</w:t>
      </w:r>
    </w:p>
    <w:p w14:paraId="0D326CCF">
      <w:pPr>
        <w:keepNext w:val="0"/>
        <w:keepLines w:val="0"/>
        <w:pageBreakBefore w:val="0"/>
        <w:widowControl/>
        <w:kinsoku/>
        <w:wordWrap/>
        <w:overflowPunct/>
        <w:topLinePunct w:val="0"/>
        <w:autoSpaceDE/>
        <w:autoSpaceDN/>
        <w:bidi w:val="0"/>
        <w:adjustRightInd/>
        <w:snapToGrid/>
        <w:spacing w:after="80" w:line="560" w:lineRule="exact"/>
        <w:ind w:firstLine="482"/>
        <w:jc w:val="both"/>
        <w:textAlignment w:val="auto"/>
        <w:rPr>
          <w:rFonts w:ascii="宋体" w:hAnsi="宋体" w:eastAsia="宋体" w:cs="宋体"/>
          <w:b w:val="0"/>
          <w:bCs w:val="0"/>
          <w:color w:val="333333"/>
          <w:sz w:val="28"/>
          <w:szCs w:val="28"/>
        </w:rPr>
      </w:pPr>
      <w:r>
        <w:rPr>
          <w:rFonts w:ascii="宋体" w:hAnsi="宋体" w:eastAsia="宋体" w:cs="宋体"/>
          <w:b w:val="0"/>
          <w:bCs w:val="0"/>
          <w:color w:val="333333"/>
          <w:sz w:val="28"/>
          <w:szCs w:val="28"/>
        </w:rPr>
        <w:t>本项目采购内容涵盖网络安全等级保护测评的全流程服务，具体包括：</w:t>
      </w:r>
    </w:p>
    <w:p w14:paraId="69B118CC">
      <w:pPr>
        <w:keepNext w:val="0"/>
        <w:keepLines w:val="0"/>
        <w:pageBreakBefore w:val="0"/>
        <w:widowControl/>
        <w:kinsoku/>
        <w:wordWrap/>
        <w:overflowPunct/>
        <w:topLinePunct w:val="0"/>
        <w:autoSpaceDE/>
        <w:autoSpaceDN/>
        <w:bidi w:val="0"/>
        <w:adjustRightInd/>
        <w:snapToGrid/>
        <w:spacing w:after="80" w:line="560" w:lineRule="exact"/>
        <w:ind w:firstLine="482"/>
        <w:jc w:val="both"/>
        <w:textAlignment w:val="auto"/>
        <w:rPr>
          <w:rFonts w:ascii="宋体" w:hAnsi="宋体" w:eastAsia="宋体" w:cs="宋体"/>
          <w:b w:val="0"/>
          <w:bCs w:val="0"/>
          <w:color w:val="333333"/>
          <w:sz w:val="28"/>
          <w:szCs w:val="28"/>
        </w:rPr>
      </w:pPr>
    </w:p>
    <w:tbl>
      <w:tblPr>
        <w:tblStyle w:val="12"/>
        <w:tblW w:w="91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600"/>
        <w:gridCol w:w="2200"/>
        <w:gridCol w:w="6340"/>
      </w:tblGrid>
      <w:tr w14:paraId="14889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600" w:type="dxa"/>
            <w:tcBorders>
              <w:top w:val="single" w:color="AAAAAA" w:sz="4" w:space="0"/>
              <w:left w:val="single" w:color="AAAAAA" w:sz="4" w:space="0"/>
              <w:bottom w:val="single" w:color="AAAAAA" w:sz="4" w:space="0"/>
              <w:right w:val="single" w:color="AAAAAA" w:sz="4" w:space="0"/>
            </w:tcBorders>
            <w:shd w:val="clear" w:color="auto" w:fill="2E75B6"/>
            <w:tcMar>
              <w:top w:w="40" w:type="dxa"/>
              <w:left w:w="80" w:type="dxa"/>
              <w:bottom w:w="40" w:type="dxa"/>
              <w:right w:w="80" w:type="dxa"/>
            </w:tcMar>
            <w:vAlign w:val="center"/>
          </w:tcPr>
          <w:p w14:paraId="0BB797D8">
            <w:pPr>
              <w:spacing w:line="276" w:lineRule="auto"/>
              <w:jc w:val="center"/>
            </w:pPr>
            <w:r>
              <w:rPr>
                <w:rFonts w:ascii="宋体" w:hAnsi="宋体" w:eastAsia="宋体" w:cs="宋体"/>
                <w:b/>
                <w:bCs/>
                <w:color w:val="FFFFFF"/>
                <w:sz w:val="20"/>
                <w:szCs w:val="20"/>
              </w:rPr>
              <w:t>序号</w:t>
            </w:r>
          </w:p>
        </w:tc>
        <w:tc>
          <w:tcPr>
            <w:tcW w:w="2200" w:type="dxa"/>
            <w:tcBorders>
              <w:top w:val="single" w:color="AAAAAA" w:sz="4" w:space="0"/>
              <w:left w:val="single" w:color="AAAAAA" w:sz="4" w:space="0"/>
              <w:bottom w:val="single" w:color="AAAAAA" w:sz="4" w:space="0"/>
              <w:right w:val="single" w:color="AAAAAA" w:sz="4" w:space="0"/>
            </w:tcBorders>
            <w:shd w:val="clear" w:color="auto" w:fill="2E75B6"/>
            <w:tcMar>
              <w:top w:w="40" w:type="dxa"/>
              <w:left w:w="80" w:type="dxa"/>
              <w:bottom w:w="40" w:type="dxa"/>
              <w:right w:w="80" w:type="dxa"/>
            </w:tcMar>
            <w:vAlign w:val="center"/>
          </w:tcPr>
          <w:p w14:paraId="00F7F8D3">
            <w:pPr>
              <w:spacing w:line="276" w:lineRule="auto"/>
              <w:jc w:val="center"/>
            </w:pPr>
            <w:r>
              <w:rPr>
                <w:rFonts w:ascii="宋体" w:hAnsi="宋体" w:eastAsia="宋体" w:cs="宋体"/>
                <w:b/>
                <w:bCs/>
                <w:color w:val="FFFFFF"/>
                <w:sz w:val="20"/>
                <w:szCs w:val="20"/>
              </w:rPr>
              <w:t>服务内容</w:t>
            </w:r>
          </w:p>
        </w:tc>
        <w:tc>
          <w:tcPr>
            <w:tcW w:w="6340" w:type="dxa"/>
            <w:tcBorders>
              <w:top w:val="single" w:color="AAAAAA" w:sz="4" w:space="0"/>
              <w:left w:val="single" w:color="AAAAAA" w:sz="4" w:space="0"/>
              <w:bottom w:val="single" w:color="AAAAAA" w:sz="4" w:space="0"/>
              <w:right w:val="single" w:color="AAAAAA" w:sz="4" w:space="0"/>
            </w:tcBorders>
            <w:shd w:val="clear" w:color="auto" w:fill="2E75B6"/>
            <w:tcMar>
              <w:top w:w="40" w:type="dxa"/>
              <w:left w:w="80" w:type="dxa"/>
              <w:bottom w:w="40" w:type="dxa"/>
              <w:right w:w="80" w:type="dxa"/>
            </w:tcMar>
            <w:vAlign w:val="center"/>
          </w:tcPr>
          <w:p w14:paraId="1D46B451">
            <w:pPr>
              <w:spacing w:line="276" w:lineRule="auto"/>
              <w:jc w:val="center"/>
            </w:pPr>
            <w:r>
              <w:rPr>
                <w:rFonts w:ascii="宋体" w:hAnsi="宋体" w:eastAsia="宋体" w:cs="宋体"/>
                <w:b/>
                <w:bCs/>
                <w:color w:val="FFFFFF"/>
                <w:sz w:val="20"/>
                <w:szCs w:val="20"/>
              </w:rPr>
              <w:t>服务说明</w:t>
            </w:r>
          </w:p>
        </w:tc>
      </w:tr>
      <w:tr w14:paraId="78945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60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609CA916">
            <w:pPr>
              <w:spacing w:line="276" w:lineRule="auto"/>
              <w:jc w:val="center"/>
            </w:pPr>
            <w:r>
              <w:rPr>
                <w:rFonts w:ascii="宋体" w:hAnsi="宋体" w:eastAsia="宋体" w:cs="宋体"/>
                <w:b w:val="0"/>
                <w:bCs w:val="0"/>
                <w:color w:val="333333"/>
                <w:sz w:val="20"/>
                <w:szCs w:val="20"/>
              </w:rPr>
              <w:t>1</w:t>
            </w:r>
          </w:p>
        </w:tc>
        <w:tc>
          <w:tcPr>
            <w:tcW w:w="220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3BAC3EE5">
            <w:pPr>
              <w:spacing w:line="276" w:lineRule="auto"/>
              <w:jc w:val="center"/>
            </w:pPr>
            <w:r>
              <w:rPr>
                <w:rFonts w:ascii="宋体" w:hAnsi="宋体" w:eastAsia="宋体" w:cs="宋体"/>
                <w:b w:val="0"/>
                <w:bCs w:val="0"/>
                <w:color w:val="333333"/>
                <w:sz w:val="20"/>
                <w:szCs w:val="20"/>
              </w:rPr>
              <w:t>定级备案服务</w:t>
            </w:r>
          </w:p>
        </w:tc>
        <w:tc>
          <w:tcPr>
            <w:tcW w:w="634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645319CD">
            <w:pPr>
              <w:spacing w:line="276" w:lineRule="auto"/>
              <w:jc w:val="center"/>
            </w:pPr>
            <w:r>
              <w:rPr>
                <w:rFonts w:ascii="宋体" w:hAnsi="宋体" w:eastAsia="宋体" w:cs="宋体"/>
                <w:b w:val="0"/>
                <w:bCs w:val="0"/>
                <w:color w:val="333333"/>
                <w:sz w:val="20"/>
                <w:szCs w:val="20"/>
              </w:rPr>
              <w:t>协助采购人完成信息系统的定级评审、专家评审及公安机关备案工作</w:t>
            </w:r>
          </w:p>
        </w:tc>
      </w:tr>
      <w:tr w14:paraId="7AC25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60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3DACD2CB">
            <w:pPr>
              <w:spacing w:line="276" w:lineRule="auto"/>
              <w:jc w:val="center"/>
            </w:pPr>
            <w:r>
              <w:rPr>
                <w:rFonts w:ascii="宋体" w:hAnsi="宋体" w:eastAsia="宋体" w:cs="宋体"/>
                <w:b w:val="0"/>
                <w:bCs w:val="0"/>
                <w:color w:val="333333"/>
                <w:sz w:val="20"/>
                <w:szCs w:val="20"/>
              </w:rPr>
              <w:t>2</w:t>
            </w:r>
          </w:p>
        </w:tc>
        <w:tc>
          <w:tcPr>
            <w:tcW w:w="220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73CD6608">
            <w:pPr>
              <w:spacing w:line="276" w:lineRule="auto"/>
              <w:jc w:val="center"/>
            </w:pPr>
            <w:r>
              <w:rPr>
                <w:rFonts w:ascii="宋体" w:hAnsi="宋体" w:eastAsia="宋体" w:cs="宋体"/>
                <w:b w:val="0"/>
                <w:bCs w:val="0"/>
                <w:color w:val="333333"/>
                <w:sz w:val="20"/>
                <w:szCs w:val="20"/>
              </w:rPr>
              <w:t>差距分析服务</w:t>
            </w:r>
          </w:p>
        </w:tc>
        <w:tc>
          <w:tcPr>
            <w:tcW w:w="634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61D5874C">
            <w:pPr>
              <w:spacing w:line="276" w:lineRule="auto"/>
              <w:jc w:val="center"/>
            </w:pPr>
            <w:r>
              <w:rPr>
                <w:rFonts w:ascii="宋体" w:hAnsi="宋体" w:eastAsia="宋体" w:cs="宋体"/>
                <w:b w:val="0"/>
                <w:bCs w:val="0"/>
                <w:color w:val="333333"/>
                <w:sz w:val="20"/>
                <w:szCs w:val="20"/>
              </w:rPr>
              <w:t>依据等保标准对各系统进行现状调研和差距分析，出具差距分析报告</w:t>
            </w:r>
          </w:p>
        </w:tc>
      </w:tr>
      <w:tr w14:paraId="6B23E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60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631008DB">
            <w:pPr>
              <w:spacing w:line="276" w:lineRule="auto"/>
              <w:jc w:val="center"/>
            </w:pPr>
            <w:r>
              <w:rPr>
                <w:rFonts w:ascii="宋体" w:hAnsi="宋体" w:eastAsia="宋体" w:cs="宋体"/>
                <w:b w:val="0"/>
                <w:bCs w:val="0"/>
                <w:color w:val="333333"/>
                <w:sz w:val="20"/>
                <w:szCs w:val="20"/>
              </w:rPr>
              <w:t>3</w:t>
            </w:r>
          </w:p>
        </w:tc>
        <w:tc>
          <w:tcPr>
            <w:tcW w:w="220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1EF0DD9E">
            <w:pPr>
              <w:spacing w:line="276" w:lineRule="auto"/>
              <w:jc w:val="center"/>
            </w:pPr>
            <w:r>
              <w:rPr>
                <w:rFonts w:ascii="宋体" w:hAnsi="宋体" w:eastAsia="宋体" w:cs="宋体"/>
                <w:b w:val="0"/>
                <w:bCs w:val="0"/>
                <w:color w:val="333333"/>
                <w:sz w:val="20"/>
                <w:szCs w:val="20"/>
              </w:rPr>
              <w:t>网络安全等级保护测评服务</w:t>
            </w:r>
          </w:p>
        </w:tc>
        <w:tc>
          <w:tcPr>
            <w:tcW w:w="634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28A13607">
            <w:pPr>
              <w:spacing w:line="276" w:lineRule="auto"/>
              <w:jc w:val="center"/>
            </w:pPr>
            <w:r>
              <w:rPr>
                <w:rFonts w:ascii="宋体" w:hAnsi="宋体" w:eastAsia="宋体" w:cs="宋体"/>
                <w:b w:val="0"/>
                <w:bCs w:val="0"/>
                <w:color w:val="333333"/>
                <w:sz w:val="20"/>
                <w:szCs w:val="20"/>
              </w:rPr>
              <w:t>按照GB/T 28448-2019要求开展安全技术测评和安全管理测评，出具符合公安部门要求的测评报告</w:t>
            </w:r>
          </w:p>
        </w:tc>
      </w:tr>
      <w:tr w14:paraId="365E5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60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717FAE9E">
            <w:pPr>
              <w:spacing w:line="276" w:lineRule="auto"/>
              <w:jc w:val="center"/>
            </w:pPr>
            <w:r>
              <w:rPr>
                <w:rFonts w:ascii="宋体" w:hAnsi="宋体" w:eastAsia="宋体" w:cs="宋体"/>
                <w:b w:val="0"/>
                <w:bCs w:val="0"/>
                <w:color w:val="333333"/>
                <w:sz w:val="20"/>
                <w:szCs w:val="20"/>
              </w:rPr>
              <w:t>4</w:t>
            </w:r>
          </w:p>
        </w:tc>
        <w:tc>
          <w:tcPr>
            <w:tcW w:w="220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0043EDD2">
            <w:pPr>
              <w:spacing w:line="276" w:lineRule="auto"/>
              <w:jc w:val="center"/>
            </w:pPr>
            <w:r>
              <w:rPr>
                <w:rFonts w:ascii="宋体" w:hAnsi="宋体" w:eastAsia="宋体" w:cs="宋体"/>
                <w:b w:val="0"/>
                <w:bCs w:val="0"/>
                <w:color w:val="333333"/>
                <w:sz w:val="20"/>
                <w:szCs w:val="20"/>
              </w:rPr>
              <w:t>整改咨询服务</w:t>
            </w:r>
          </w:p>
        </w:tc>
        <w:tc>
          <w:tcPr>
            <w:tcW w:w="634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112D75CC">
            <w:pPr>
              <w:spacing w:line="276" w:lineRule="auto"/>
              <w:jc w:val="center"/>
            </w:pPr>
            <w:r>
              <w:rPr>
                <w:rFonts w:ascii="宋体" w:hAnsi="宋体" w:eastAsia="宋体" w:cs="宋体"/>
                <w:b w:val="0"/>
                <w:bCs w:val="0"/>
                <w:color w:val="333333"/>
                <w:sz w:val="20"/>
                <w:szCs w:val="20"/>
              </w:rPr>
              <w:t>针对测评中发现的不符合项，提出安全整改建议，编制整改方案，指导采购人完成整改</w:t>
            </w:r>
          </w:p>
        </w:tc>
      </w:tr>
    </w:tbl>
    <w:p w14:paraId="1485838F">
      <w:pPr>
        <w:spacing w:after="120" w:line="276" w:lineRule="auto"/>
      </w:pPr>
    </w:p>
    <w:p w14:paraId="650593DF">
      <w:pPr>
        <w:pStyle w:val="3"/>
        <w:spacing w:before="240" w:after="120" w:line="276" w:lineRule="auto"/>
        <w:jc w:val="left"/>
      </w:pPr>
      <w:r>
        <w:rPr>
          <w:rFonts w:ascii="黑体" w:hAnsi="黑体" w:eastAsia="黑体" w:cs="黑体"/>
          <w:b/>
          <w:bCs/>
          <w:color w:val="333333"/>
          <w:sz w:val="36"/>
          <w:szCs w:val="36"/>
        </w:rPr>
        <w:t>2.2 测评系统清单</w:t>
      </w:r>
    </w:p>
    <w:p w14:paraId="381E3428">
      <w:pPr>
        <w:keepNext w:val="0"/>
        <w:keepLines w:val="0"/>
        <w:pageBreakBefore w:val="0"/>
        <w:widowControl/>
        <w:kinsoku/>
        <w:wordWrap/>
        <w:overflowPunct/>
        <w:topLinePunct w:val="0"/>
        <w:autoSpaceDE/>
        <w:autoSpaceDN/>
        <w:bidi w:val="0"/>
        <w:adjustRightInd/>
        <w:snapToGrid/>
        <w:spacing w:after="80" w:line="560" w:lineRule="exact"/>
        <w:ind w:firstLine="482"/>
        <w:jc w:val="both"/>
        <w:textAlignment w:val="auto"/>
        <w:rPr>
          <w:sz w:val="28"/>
          <w:szCs w:val="28"/>
        </w:rPr>
      </w:pPr>
      <w:r>
        <w:rPr>
          <w:rFonts w:ascii="宋体" w:hAnsi="宋体" w:eastAsia="宋体" w:cs="宋体"/>
          <w:b w:val="0"/>
          <w:bCs w:val="0"/>
          <w:color w:val="333333"/>
          <w:sz w:val="28"/>
          <w:szCs w:val="28"/>
        </w:rPr>
        <w:t>本项目需开展等级保护测评的信息系统共计8个，具体如下：</w:t>
      </w:r>
    </w:p>
    <w:tbl>
      <w:tblPr>
        <w:tblStyle w:val="12"/>
        <w:tblW w:w="93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500"/>
        <w:gridCol w:w="2715"/>
        <w:gridCol w:w="990"/>
        <w:gridCol w:w="5190"/>
      </w:tblGrid>
      <w:tr w14:paraId="13521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00" w:type="dxa"/>
            <w:tcBorders>
              <w:top w:val="single" w:color="AAAAAA" w:sz="4" w:space="0"/>
              <w:left w:val="single" w:color="AAAAAA" w:sz="4" w:space="0"/>
              <w:bottom w:val="single" w:color="AAAAAA" w:sz="4" w:space="0"/>
              <w:right w:val="single" w:color="AAAAAA" w:sz="4" w:space="0"/>
            </w:tcBorders>
            <w:shd w:val="clear" w:color="auto" w:fill="2E75B6"/>
            <w:tcMar>
              <w:top w:w="40" w:type="dxa"/>
              <w:left w:w="80" w:type="dxa"/>
              <w:bottom w:w="40" w:type="dxa"/>
              <w:right w:w="80" w:type="dxa"/>
            </w:tcMar>
            <w:vAlign w:val="center"/>
          </w:tcPr>
          <w:p w14:paraId="733068AE">
            <w:pPr>
              <w:spacing w:line="276" w:lineRule="auto"/>
              <w:jc w:val="center"/>
            </w:pPr>
            <w:r>
              <w:rPr>
                <w:rFonts w:ascii="宋体" w:hAnsi="宋体" w:eastAsia="宋体" w:cs="宋体"/>
                <w:b/>
                <w:bCs/>
                <w:color w:val="FFFFFF"/>
                <w:sz w:val="20"/>
                <w:szCs w:val="20"/>
              </w:rPr>
              <w:t>序号</w:t>
            </w:r>
          </w:p>
        </w:tc>
        <w:tc>
          <w:tcPr>
            <w:tcW w:w="2715" w:type="dxa"/>
            <w:tcBorders>
              <w:top w:val="single" w:color="AAAAAA" w:sz="4" w:space="0"/>
              <w:left w:val="single" w:color="AAAAAA" w:sz="4" w:space="0"/>
              <w:bottom w:val="single" w:color="AAAAAA" w:sz="4" w:space="0"/>
              <w:right w:val="single" w:color="AAAAAA" w:sz="4" w:space="0"/>
            </w:tcBorders>
            <w:shd w:val="clear" w:color="auto" w:fill="2E75B6"/>
            <w:tcMar>
              <w:top w:w="40" w:type="dxa"/>
              <w:left w:w="80" w:type="dxa"/>
              <w:bottom w:w="40" w:type="dxa"/>
              <w:right w:w="80" w:type="dxa"/>
            </w:tcMar>
            <w:vAlign w:val="center"/>
          </w:tcPr>
          <w:p w14:paraId="49479F9E">
            <w:pPr>
              <w:spacing w:line="276" w:lineRule="auto"/>
              <w:jc w:val="center"/>
            </w:pPr>
            <w:r>
              <w:rPr>
                <w:rFonts w:ascii="宋体" w:hAnsi="宋体" w:eastAsia="宋体" w:cs="宋体"/>
                <w:b/>
                <w:bCs/>
                <w:color w:val="FFFFFF"/>
                <w:sz w:val="20"/>
                <w:szCs w:val="20"/>
              </w:rPr>
              <w:t>系统名称</w:t>
            </w:r>
          </w:p>
        </w:tc>
        <w:tc>
          <w:tcPr>
            <w:tcW w:w="990" w:type="dxa"/>
            <w:tcBorders>
              <w:top w:val="single" w:color="AAAAAA" w:sz="4" w:space="0"/>
              <w:left w:val="single" w:color="AAAAAA" w:sz="4" w:space="0"/>
              <w:bottom w:val="single" w:color="AAAAAA" w:sz="4" w:space="0"/>
              <w:right w:val="single" w:color="AAAAAA" w:sz="4" w:space="0"/>
            </w:tcBorders>
            <w:shd w:val="clear" w:color="auto" w:fill="2E75B6"/>
            <w:tcMar>
              <w:top w:w="40" w:type="dxa"/>
              <w:left w:w="80" w:type="dxa"/>
              <w:bottom w:w="40" w:type="dxa"/>
              <w:right w:w="80" w:type="dxa"/>
            </w:tcMar>
            <w:vAlign w:val="center"/>
          </w:tcPr>
          <w:p w14:paraId="39736D80">
            <w:pPr>
              <w:spacing w:line="276" w:lineRule="auto"/>
              <w:jc w:val="center"/>
            </w:pPr>
            <w:r>
              <w:rPr>
                <w:rFonts w:ascii="宋体" w:hAnsi="宋体" w:eastAsia="宋体" w:cs="宋体"/>
                <w:b/>
                <w:bCs/>
                <w:color w:val="FFFFFF"/>
                <w:sz w:val="20"/>
                <w:szCs w:val="20"/>
              </w:rPr>
              <w:t>安全保护等级</w:t>
            </w:r>
          </w:p>
        </w:tc>
        <w:tc>
          <w:tcPr>
            <w:tcW w:w="5190" w:type="dxa"/>
            <w:tcBorders>
              <w:top w:val="single" w:color="AAAAAA" w:sz="4" w:space="0"/>
              <w:left w:val="single" w:color="AAAAAA" w:sz="4" w:space="0"/>
              <w:bottom w:val="single" w:color="AAAAAA" w:sz="4" w:space="0"/>
              <w:right w:val="single" w:color="AAAAAA" w:sz="4" w:space="0"/>
            </w:tcBorders>
            <w:shd w:val="clear" w:color="auto" w:fill="2E75B6"/>
            <w:tcMar>
              <w:top w:w="40" w:type="dxa"/>
              <w:left w:w="80" w:type="dxa"/>
              <w:bottom w:w="40" w:type="dxa"/>
              <w:right w:w="80" w:type="dxa"/>
            </w:tcMar>
            <w:vAlign w:val="center"/>
          </w:tcPr>
          <w:p w14:paraId="10DC7CF2">
            <w:pPr>
              <w:spacing w:line="276" w:lineRule="auto"/>
              <w:jc w:val="center"/>
            </w:pPr>
            <w:r>
              <w:rPr>
                <w:rFonts w:ascii="宋体" w:hAnsi="宋体" w:eastAsia="宋体" w:cs="宋体"/>
                <w:b/>
                <w:bCs/>
                <w:color w:val="FFFFFF"/>
                <w:sz w:val="20"/>
                <w:szCs w:val="20"/>
              </w:rPr>
              <w:t>系统简介</w:t>
            </w:r>
          </w:p>
        </w:tc>
      </w:tr>
      <w:tr w14:paraId="162BF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0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5B554FEA">
            <w:pPr>
              <w:spacing w:line="276" w:lineRule="auto"/>
              <w:jc w:val="center"/>
            </w:pPr>
            <w:r>
              <w:rPr>
                <w:rFonts w:ascii="宋体" w:hAnsi="宋体" w:eastAsia="宋体" w:cs="宋体"/>
                <w:b w:val="0"/>
                <w:bCs w:val="0"/>
                <w:color w:val="333333"/>
                <w:sz w:val="20"/>
                <w:szCs w:val="20"/>
              </w:rPr>
              <w:t>1</w:t>
            </w:r>
          </w:p>
        </w:tc>
        <w:tc>
          <w:tcPr>
            <w:tcW w:w="2715"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12F5322E">
            <w:pPr>
              <w:spacing w:line="276" w:lineRule="auto"/>
              <w:jc w:val="center"/>
            </w:pPr>
            <w:r>
              <w:rPr>
                <w:rFonts w:ascii="宋体" w:hAnsi="宋体" w:eastAsia="宋体" w:cs="宋体"/>
                <w:b w:val="0"/>
                <w:bCs w:val="0"/>
                <w:color w:val="333333"/>
                <w:sz w:val="20"/>
                <w:szCs w:val="20"/>
              </w:rPr>
              <w:t>HIS系统（医院信息系统）</w:t>
            </w:r>
          </w:p>
        </w:tc>
        <w:tc>
          <w:tcPr>
            <w:tcW w:w="99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30B5244F">
            <w:pPr>
              <w:spacing w:line="276" w:lineRule="auto"/>
              <w:jc w:val="center"/>
            </w:pPr>
            <w:r>
              <w:rPr>
                <w:rFonts w:ascii="宋体" w:hAnsi="宋体" w:eastAsia="宋体" w:cs="宋体"/>
                <w:b w:val="0"/>
                <w:bCs w:val="0"/>
                <w:color w:val="333333"/>
                <w:sz w:val="20"/>
                <w:szCs w:val="20"/>
              </w:rPr>
              <w:t>第三级</w:t>
            </w:r>
          </w:p>
        </w:tc>
        <w:tc>
          <w:tcPr>
            <w:tcW w:w="519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7C49CA95">
            <w:pPr>
              <w:spacing w:line="276" w:lineRule="auto"/>
              <w:jc w:val="center"/>
            </w:pPr>
            <w:r>
              <w:rPr>
                <w:rFonts w:ascii="宋体" w:hAnsi="宋体" w:eastAsia="宋体" w:cs="宋体"/>
                <w:b w:val="0"/>
                <w:bCs w:val="0"/>
                <w:color w:val="333333"/>
                <w:sz w:val="20"/>
                <w:szCs w:val="20"/>
              </w:rPr>
              <w:t>涵盖挂号、收费、住院、药品、医嘱等核心业务流程</w:t>
            </w:r>
          </w:p>
        </w:tc>
      </w:tr>
      <w:tr w14:paraId="2748D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0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4BF8B150">
            <w:pPr>
              <w:spacing w:line="276" w:lineRule="auto"/>
              <w:jc w:val="center"/>
            </w:pPr>
            <w:r>
              <w:rPr>
                <w:rFonts w:ascii="宋体" w:hAnsi="宋体" w:eastAsia="宋体" w:cs="宋体"/>
                <w:b w:val="0"/>
                <w:bCs w:val="0"/>
                <w:color w:val="333333"/>
                <w:sz w:val="20"/>
                <w:szCs w:val="20"/>
              </w:rPr>
              <w:t>2</w:t>
            </w:r>
          </w:p>
        </w:tc>
        <w:tc>
          <w:tcPr>
            <w:tcW w:w="2715"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6DD27A72">
            <w:pPr>
              <w:spacing w:line="276" w:lineRule="auto"/>
              <w:jc w:val="center"/>
            </w:pPr>
            <w:r>
              <w:rPr>
                <w:rFonts w:ascii="宋体" w:hAnsi="宋体" w:eastAsia="宋体" w:cs="宋体"/>
                <w:b w:val="0"/>
                <w:bCs w:val="0"/>
                <w:color w:val="333333"/>
                <w:sz w:val="20"/>
                <w:szCs w:val="20"/>
              </w:rPr>
              <w:t>LIS系统（检验信息系统）</w:t>
            </w:r>
          </w:p>
        </w:tc>
        <w:tc>
          <w:tcPr>
            <w:tcW w:w="99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739EE283">
            <w:pPr>
              <w:spacing w:line="276" w:lineRule="auto"/>
              <w:jc w:val="center"/>
            </w:pPr>
            <w:r>
              <w:rPr>
                <w:rFonts w:ascii="宋体" w:hAnsi="宋体" w:eastAsia="宋体" w:cs="宋体"/>
                <w:b w:val="0"/>
                <w:bCs w:val="0"/>
                <w:color w:val="333333"/>
                <w:sz w:val="20"/>
                <w:szCs w:val="20"/>
              </w:rPr>
              <w:t>第三级</w:t>
            </w:r>
          </w:p>
        </w:tc>
        <w:tc>
          <w:tcPr>
            <w:tcW w:w="519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0B0AE962">
            <w:pPr>
              <w:spacing w:line="276" w:lineRule="auto"/>
              <w:jc w:val="center"/>
            </w:pPr>
            <w:r>
              <w:rPr>
                <w:rFonts w:ascii="宋体" w:hAnsi="宋体" w:eastAsia="宋体" w:cs="宋体"/>
                <w:b w:val="0"/>
                <w:bCs w:val="0"/>
                <w:color w:val="333333"/>
                <w:sz w:val="20"/>
                <w:szCs w:val="20"/>
              </w:rPr>
              <w:t>涵盖检验申请、标本管理、结果报告等检验全流程</w:t>
            </w:r>
          </w:p>
        </w:tc>
      </w:tr>
      <w:tr w14:paraId="6134E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0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025F6517">
            <w:pPr>
              <w:spacing w:line="276" w:lineRule="auto"/>
              <w:jc w:val="center"/>
            </w:pPr>
            <w:r>
              <w:rPr>
                <w:rFonts w:ascii="宋体" w:hAnsi="宋体" w:eastAsia="宋体" w:cs="宋体"/>
                <w:b w:val="0"/>
                <w:bCs w:val="0"/>
                <w:color w:val="333333"/>
                <w:sz w:val="20"/>
                <w:szCs w:val="20"/>
              </w:rPr>
              <w:t>3</w:t>
            </w:r>
          </w:p>
        </w:tc>
        <w:tc>
          <w:tcPr>
            <w:tcW w:w="2715"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32CF4776">
            <w:pPr>
              <w:spacing w:line="276" w:lineRule="auto"/>
              <w:jc w:val="center"/>
            </w:pPr>
            <w:r>
              <w:rPr>
                <w:rFonts w:ascii="宋体" w:hAnsi="宋体" w:eastAsia="宋体" w:cs="宋体"/>
                <w:b w:val="0"/>
                <w:bCs w:val="0"/>
                <w:color w:val="333333"/>
                <w:sz w:val="20"/>
                <w:szCs w:val="20"/>
              </w:rPr>
              <w:t>PACS系统（影像归档与通信系统）</w:t>
            </w:r>
          </w:p>
        </w:tc>
        <w:tc>
          <w:tcPr>
            <w:tcW w:w="99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306B8943">
            <w:pPr>
              <w:spacing w:line="276" w:lineRule="auto"/>
              <w:jc w:val="center"/>
            </w:pPr>
            <w:r>
              <w:rPr>
                <w:rFonts w:ascii="宋体" w:hAnsi="宋体" w:eastAsia="宋体" w:cs="宋体"/>
                <w:b w:val="0"/>
                <w:bCs w:val="0"/>
                <w:color w:val="333333"/>
                <w:sz w:val="20"/>
                <w:szCs w:val="20"/>
              </w:rPr>
              <w:t>第三级</w:t>
            </w:r>
          </w:p>
        </w:tc>
        <w:tc>
          <w:tcPr>
            <w:tcW w:w="519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06EE82FA">
            <w:pPr>
              <w:spacing w:line="276" w:lineRule="auto"/>
              <w:jc w:val="center"/>
            </w:pPr>
            <w:r>
              <w:rPr>
                <w:rFonts w:ascii="宋体" w:hAnsi="宋体" w:eastAsia="宋体" w:cs="宋体"/>
                <w:b w:val="0"/>
                <w:bCs w:val="0"/>
                <w:color w:val="333333"/>
                <w:sz w:val="20"/>
                <w:szCs w:val="20"/>
              </w:rPr>
              <w:t>涵盖影像采集、存储、诊断报告等医学影像全流程</w:t>
            </w:r>
          </w:p>
        </w:tc>
      </w:tr>
      <w:tr w14:paraId="315D4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0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23F09E22">
            <w:pPr>
              <w:spacing w:line="276" w:lineRule="auto"/>
              <w:jc w:val="center"/>
            </w:pPr>
            <w:r>
              <w:rPr>
                <w:rFonts w:ascii="宋体" w:hAnsi="宋体" w:eastAsia="宋体" w:cs="宋体"/>
                <w:b w:val="0"/>
                <w:bCs w:val="0"/>
                <w:color w:val="333333"/>
                <w:sz w:val="20"/>
                <w:szCs w:val="20"/>
              </w:rPr>
              <w:t>4</w:t>
            </w:r>
          </w:p>
        </w:tc>
        <w:tc>
          <w:tcPr>
            <w:tcW w:w="2715"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4BB8BA49">
            <w:pPr>
              <w:spacing w:line="276" w:lineRule="auto"/>
              <w:jc w:val="center"/>
            </w:pPr>
            <w:r>
              <w:rPr>
                <w:rFonts w:ascii="宋体" w:hAnsi="宋体" w:eastAsia="宋体" w:cs="宋体"/>
                <w:b w:val="0"/>
                <w:bCs w:val="0"/>
                <w:color w:val="333333"/>
                <w:sz w:val="20"/>
                <w:szCs w:val="20"/>
              </w:rPr>
              <w:t>EMR系统（电子病历系统）</w:t>
            </w:r>
          </w:p>
        </w:tc>
        <w:tc>
          <w:tcPr>
            <w:tcW w:w="99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00A48E25">
            <w:pPr>
              <w:spacing w:line="276" w:lineRule="auto"/>
              <w:jc w:val="center"/>
            </w:pPr>
            <w:r>
              <w:rPr>
                <w:rFonts w:ascii="宋体" w:hAnsi="宋体" w:eastAsia="宋体" w:cs="宋体"/>
                <w:b w:val="0"/>
                <w:bCs w:val="0"/>
                <w:color w:val="333333"/>
                <w:sz w:val="20"/>
                <w:szCs w:val="20"/>
              </w:rPr>
              <w:t>第三级</w:t>
            </w:r>
          </w:p>
        </w:tc>
        <w:tc>
          <w:tcPr>
            <w:tcW w:w="519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167E99A7">
            <w:pPr>
              <w:spacing w:line="276" w:lineRule="auto"/>
              <w:jc w:val="center"/>
            </w:pPr>
            <w:r>
              <w:rPr>
                <w:rFonts w:ascii="宋体" w:hAnsi="宋体" w:eastAsia="宋体" w:cs="宋体"/>
                <w:b w:val="0"/>
                <w:bCs w:val="0"/>
                <w:color w:val="333333"/>
                <w:sz w:val="20"/>
                <w:szCs w:val="20"/>
              </w:rPr>
              <w:t>涵盖门急诊/住院病历书写、质控、归档等病历全流程</w:t>
            </w:r>
          </w:p>
        </w:tc>
      </w:tr>
      <w:tr w14:paraId="62790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0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0F478C2B">
            <w:pPr>
              <w:spacing w:line="276" w:lineRule="auto"/>
              <w:jc w:val="center"/>
            </w:pPr>
            <w:r>
              <w:rPr>
                <w:rFonts w:ascii="宋体" w:hAnsi="宋体" w:eastAsia="宋体" w:cs="宋体"/>
                <w:b w:val="0"/>
                <w:bCs w:val="0"/>
                <w:color w:val="333333"/>
                <w:sz w:val="20"/>
                <w:szCs w:val="20"/>
              </w:rPr>
              <w:t>5</w:t>
            </w:r>
          </w:p>
        </w:tc>
        <w:tc>
          <w:tcPr>
            <w:tcW w:w="2715"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21BC8D8F">
            <w:pPr>
              <w:spacing w:line="276" w:lineRule="auto"/>
              <w:jc w:val="center"/>
            </w:pPr>
            <w:r>
              <w:rPr>
                <w:rFonts w:ascii="宋体" w:hAnsi="宋体" w:eastAsia="宋体" w:cs="宋体"/>
                <w:b w:val="0"/>
                <w:bCs w:val="0"/>
                <w:color w:val="333333"/>
                <w:sz w:val="20"/>
                <w:szCs w:val="20"/>
              </w:rPr>
              <w:t>集成平台系统</w:t>
            </w:r>
          </w:p>
        </w:tc>
        <w:tc>
          <w:tcPr>
            <w:tcW w:w="99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33DB1D89">
            <w:pPr>
              <w:spacing w:line="276" w:lineRule="auto"/>
              <w:jc w:val="center"/>
            </w:pPr>
            <w:r>
              <w:rPr>
                <w:rFonts w:ascii="宋体" w:hAnsi="宋体" w:eastAsia="宋体" w:cs="宋体"/>
                <w:b w:val="0"/>
                <w:bCs w:val="0"/>
                <w:color w:val="333333"/>
                <w:sz w:val="20"/>
                <w:szCs w:val="20"/>
              </w:rPr>
              <w:t>第三级</w:t>
            </w:r>
          </w:p>
        </w:tc>
        <w:tc>
          <w:tcPr>
            <w:tcW w:w="519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46A23F38">
            <w:pPr>
              <w:spacing w:line="276" w:lineRule="auto"/>
              <w:jc w:val="center"/>
            </w:pPr>
            <w:r>
              <w:rPr>
                <w:rFonts w:ascii="宋体" w:hAnsi="宋体" w:eastAsia="宋体" w:cs="宋体"/>
                <w:b w:val="0"/>
                <w:bCs w:val="0"/>
                <w:color w:val="333333"/>
                <w:sz w:val="20"/>
                <w:szCs w:val="20"/>
              </w:rPr>
              <w:t>涵盖ESB服务总线、消息引擎、CDR临床数据中心等</w:t>
            </w:r>
          </w:p>
        </w:tc>
      </w:tr>
      <w:tr w14:paraId="197C7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0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5A342E99">
            <w:pPr>
              <w:spacing w:line="276" w:lineRule="auto"/>
              <w:jc w:val="center"/>
            </w:pPr>
            <w:r>
              <w:rPr>
                <w:rFonts w:ascii="宋体" w:hAnsi="宋体" w:eastAsia="宋体" w:cs="宋体"/>
                <w:b w:val="0"/>
                <w:bCs w:val="0"/>
                <w:color w:val="333333"/>
                <w:sz w:val="20"/>
                <w:szCs w:val="20"/>
              </w:rPr>
              <w:t>6</w:t>
            </w:r>
          </w:p>
        </w:tc>
        <w:tc>
          <w:tcPr>
            <w:tcW w:w="2715"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7713C5E2">
            <w:pPr>
              <w:spacing w:line="276" w:lineRule="auto"/>
              <w:jc w:val="center"/>
            </w:pPr>
            <w:r>
              <w:rPr>
                <w:rFonts w:ascii="宋体" w:hAnsi="宋体" w:eastAsia="宋体" w:cs="宋体"/>
                <w:b w:val="0"/>
                <w:bCs w:val="0"/>
                <w:color w:val="333333"/>
                <w:sz w:val="20"/>
                <w:szCs w:val="20"/>
              </w:rPr>
              <w:t>互联网医院系统</w:t>
            </w:r>
          </w:p>
        </w:tc>
        <w:tc>
          <w:tcPr>
            <w:tcW w:w="99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0C32FA6A">
            <w:pPr>
              <w:spacing w:line="276" w:lineRule="auto"/>
              <w:jc w:val="center"/>
            </w:pPr>
            <w:r>
              <w:rPr>
                <w:rFonts w:ascii="宋体" w:hAnsi="宋体" w:eastAsia="宋体" w:cs="宋体"/>
                <w:b w:val="0"/>
                <w:bCs w:val="0"/>
                <w:color w:val="333333"/>
                <w:sz w:val="20"/>
                <w:szCs w:val="20"/>
              </w:rPr>
              <w:t>第三级</w:t>
            </w:r>
          </w:p>
        </w:tc>
        <w:tc>
          <w:tcPr>
            <w:tcW w:w="519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0BB5DB9A">
            <w:pPr>
              <w:spacing w:line="276" w:lineRule="auto"/>
              <w:jc w:val="center"/>
            </w:pPr>
            <w:r>
              <w:rPr>
                <w:rFonts w:ascii="宋体" w:hAnsi="宋体" w:eastAsia="宋体" w:cs="宋体"/>
                <w:b w:val="0"/>
                <w:bCs w:val="0"/>
                <w:color w:val="333333"/>
                <w:sz w:val="20"/>
                <w:szCs w:val="20"/>
              </w:rPr>
              <w:t>涵盖线上挂号、在线问诊、线上缴费、报告查询等</w:t>
            </w:r>
          </w:p>
        </w:tc>
      </w:tr>
      <w:tr w14:paraId="70196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0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646B61EA">
            <w:pPr>
              <w:spacing w:line="276" w:lineRule="auto"/>
              <w:jc w:val="center"/>
            </w:pPr>
            <w:r>
              <w:rPr>
                <w:rFonts w:ascii="宋体" w:hAnsi="宋体" w:eastAsia="宋体" w:cs="宋体"/>
                <w:b w:val="0"/>
                <w:bCs w:val="0"/>
                <w:color w:val="333333"/>
                <w:sz w:val="20"/>
                <w:szCs w:val="20"/>
              </w:rPr>
              <w:t>7</w:t>
            </w:r>
          </w:p>
        </w:tc>
        <w:tc>
          <w:tcPr>
            <w:tcW w:w="2715"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47C35015">
            <w:pPr>
              <w:spacing w:line="276" w:lineRule="auto"/>
              <w:jc w:val="center"/>
            </w:pPr>
            <w:r>
              <w:rPr>
                <w:rFonts w:ascii="宋体" w:hAnsi="宋体" w:eastAsia="宋体" w:cs="宋体"/>
                <w:b w:val="0"/>
                <w:bCs w:val="0"/>
                <w:color w:val="333333"/>
                <w:sz w:val="20"/>
                <w:szCs w:val="20"/>
              </w:rPr>
              <w:t>数智化病理系统</w:t>
            </w:r>
          </w:p>
        </w:tc>
        <w:tc>
          <w:tcPr>
            <w:tcW w:w="99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7575680A">
            <w:pPr>
              <w:spacing w:line="276" w:lineRule="auto"/>
              <w:jc w:val="center"/>
            </w:pPr>
            <w:r>
              <w:rPr>
                <w:rFonts w:ascii="宋体" w:hAnsi="宋体" w:eastAsia="宋体" w:cs="宋体"/>
                <w:b w:val="0"/>
                <w:bCs w:val="0"/>
                <w:color w:val="333333"/>
                <w:sz w:val="20"/>
                <w:szCs w:val="20"/>
              </w:rPr>
              <w:t>第二级</w:t>
            </w:r>
          </w:p>
        </w:tc>
        <w:tc>
          <w:tcPr>
            <w:tcW w:w="519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747E1C20">
            <w:pPr>
              <w:spacing w:line="276" w:lineRule="auto"/>
              <w:jc w:val="center"/>
            </w:pPr>
            <w:r>
              <w:rPr>
                <w:rFonts w:ascii="宋体" w:hAnsi="宋体" w:eastAsia="宋体" w:cs="宋体"/>
                <w:b w:val="0"/>
                <w:bCs w:val="0"/>
                <w:color w:val="333333"/>
                <w:sz w:val="20"/>
                <w:szCs w:val="20"/>
              </w:rPr>
              <w:t>涵盖病理切片数字化、远程会诊、病理报告管理等</w:t>
            </w:r>
          </w:p>
        </w:tc>
      </w:tr>
      <w:tr w14:paraId="46AEC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0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6305A14F">
            <w:pPr>
              <w:spacing w:line="276" w:lineRule="auto"/>
              <w:jc w:val="center"/>
            </w:pPr>
            <w:r>
              <w:rPr>
                <w:rFonts w:ascii="宋体" w:hAnsi="宋体" w:eastAsia="宋体" w:cs="宋体"/>
                <w:b w:val="0"/>
                <w:bCs w:val="0"/>
                <w:color w:val="333333"/>
                <w:sz w:val="20"/>
                <w:szCs w:val="20"/>
              </w:rPr>
              <w:t>8</w:t>
            </w:r>
          </w:p>
        </w:tc>
        <w:tc>
          <w:tcPr>
            <w:tcW w:w="2715"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32605DD2">
            <w:pPr>
              <w:spacing w:line="276" w:lineRule="auto"/>
              <w:jc w:val="center"/>
            </w:pPr>
            <w:r>
              <w:rPr>
                <w:rFonts w:ascii="宋体" w:hAnsi="宋体" w:eastAsia="宋体" w:cs="宋体"/>
                <w:b w:val="0"/>
                <w:bCs w:val="0"/>
                <w:color w:val="333333"/>
                <w:sz w:val="20"/>
                <w:szCs w:val="20"/>
              </w:rPr>
              <w:t>医院官方网站</w:t>
            </w:r>
          </w:p>
        </w:tc>
        <w:tc>
          <w:tcPr>
            <w:tcW w:w="99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69D84FBB">
            <w:pPr>
              <w:spacing w:line="276" w:lineRule="auto"/>
              <w:jc w:val="center"/>
            </w:pPr>
            <w:r>
              <w:rPr>
                <w:rFonts w:ascii="宋体" w:hAnsi="宋体" w:eastAsia="宋体" w:cs="宋体"/>
                <w:b w:val="0"/>
                <w:bCs w:val="0"/>
                <w:color w:val="333333"/>
                <w:sz w:val="20"/>
                <w:szCs w:val="20"/>
              </w:rPr>
              <w:t>第二级</w:t>
            </w:r>
          </w:p>
        </w:tc>
        <w:tc>
          <w:tcPr>
            <w:tcW w:w="5190" w:type="dxa"/>
            <w:tcBorders>
              <w:top w:val="single" w:color="AAAAAA" w:sz="4" w:space="0"/>
              <w:left w:val="single" w:color="AAAAAA" w:sz="4" w:space="0"/>
              <w:bottom w:val="single" w:color="AAAAAA" w:sz="4" w:space="0"/>
              <w:right w:val="single" w:color="AAAAAA" w:sz="4" w:space="0"/>
            </w:tcBorders>
            <w:tcMar>
              <w:top w:w="40" w:type="dxa"/>
              <w:left w:w="80" w:type="dxa"/>
              <w:bottom w:w="40" w:type="dxa"/>
              <w:right w:w="80" w:type="dxa"/>
            </w:tcMar>
            <w:vAlign w:val="center"/>
          </w:tcPr>
          <w:p w14:paraId="157F690C">
            <w:pPr>
              <w:spacing w:line="276" w:lineRule="auto"/>
              <w:jc w:val="center"/>
            </w:pPr>
            <w:r>
              <w:rPr>
                <w:rFonts w:ascii="宋体" w:hAnsi="宋体" w:eastAsia="宋体" w:cs="宋体"/>
                <w:b w:val="0"/>
                <w:bCs w:val="0"/>
                <w:color w:val="333333"/>
                <w:sz w:val="20"/>
                <w:szCs w:val="20"/>
              </w:rPr>
              <w:t>涵盖医院对外信息发布、在线预约、信息公开等</w:t>
            </w:r>
          </w:p>
        </w:tc>
      </w:tr>
    </w:tbl>
    <w:p w14:paraId="516D6ABE">
      <w:pPr>
        <w:spacing w:after="120" w:line="276" w:lineRule="auto"/>
      </w:pPr>
    </w:p>
    <w:p w14:paraId="75275DD8">
      <w:pPr>
        <w:pStyle w:val="3"/>
        <w:spacing w:before="240" w:after="120" w:line="276" w:lineRule="auto"/>
        <w:jc w:val="left"/>
      </w:pPr>
      <w:r>
        <w:rPr>
          <w:rFonts w:ascii="黑体" w:hAnsi="黑体" w:eastAsia="黑体" w:cs="黑体"/>
          <w:b/>
          <w:bCs/>
          <w:color w:val="333333"/>
          <w:sz w:val="36"/>
          <w:szCs w:val="36"/>
        </w:rPr>
        <w:t>2.3 项目依据</w:t>
      </w:r>
    </w:p>
    <w:p w14:paraId="112E543E">
      <w:pPr>
        <w:keepNext w:val="0"/>
        <w:keepLines w:val="0"/>
        <w:pageBreakBefore w:val="0"/>
        <w:widowControl/>
        <w:kinsoku/>
        <w:wordWrap/>
        <w:overflowPunct/>
        <w:topLinePunct w:val="0"/>
        <w:autoSpaceDE/>
        <w:autoSpaceDN/>
        <w:bidi w:val="0"/>
        <w:adjustRightInd/>
        <w:snapToGrid/>
        <w:spacing w:after="80" w:line="560" w:lineRule="exact"/>
        <w:ind w:firstLine="480"/>
        <w:jc w:val="both"/>
        <w:textAlignment w:val="auto"/>
      </w:pPr>
      <w:r>
        <w:rPr>
          <w:rFonts w:ascii="宋体" w:hAnsi="宋体" w:eastAsia="宋体" w:cs="宋体"/>
          <w:b w:val="0"/>
          <w:bCs w:val="0"/>
          <w:color w:val="333333"/>
          <w:sz w:val="28"/>
          <w:szCs w:val="28"/>
        </w:rPr>
        <w:t>本项目实施应遵循以下法律法规、政策文件及技术标准：</w:t>
      </w:r>
    </w:p>
    <w:p w14:paraId="66580B9B">
      <w:pPr>
        <w:keepNext w:val="0"/>
        <w:keepLines w:val="0"/>
        <w:pageBreakBefore w:val="0"/>
        <w:widowControl/>
        <w:kinsoku/>
        <w:wordWrap/>
        <w:overflowPunct/>
        <w:topLinePunct w:val="0"/>
        <w:autoSpaceDE/>
        <w:autoSpaceDN/>
        <w:bidi w:val="0"/>
        <w:adjustRightInd/>
        <w:snapToGrid/>
        <w:spacing w:after="40" w:line="560" w:lineRule="exact"/>
        <w:textAlignment w:val="auto"/>
      </w:pPr>
    </w:p>
    <w:p w14:paraId="7E197CF4">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pPr>
      <w:r>
        <w:rPr>
          <w:rFonts w:ascii="宋体" w:hAnsi="宋体" w:eastAsia="宋体" w:cs="宋体"/>
          <w:color w:val="333333"/>
          <w:sz w:val="26"/>
          <w:szCs w:val="26"/>
        </w:rPr>
        <w:t>• 《中华人民共和国网络安全法》；</w:t>
      </w:r>
    </w:p>
    <w:p w14:paraId="745E9584">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pPr>
      <w:r>
        <w:rPr>
          <w:rFonts w:ascii="宋体" w:hAnsi="宋体" w:eastAsia="宋体" w:cs="宋体"/>
          <w:color w:val="333333"/>
          <w:sz w:val="26"/>
          <w:szCs w:val="26"/>
        </w:rPr>
        <w:t>• 《中华人民共和国计算机信息系统安全保护条例》（国务院147号令）；</w:t>
      </w:r>
    </w:p>
    <w:p w14:paraId="26AF3B9A">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pPr>
      <w:r>
        <w:rPr>
          <w:rFonts w:ascii="宋体" w:hAnsi="宋体" w:eastAsia="宋体" w:cs="宋体"/>
          <w:color w:val="333333"/>
          <w:sz w:val="26"/>
          <w:szCs w:val="26"/>
        </w:rPr>
        <w:t>• 《信息安全等级保护管理办法》（公通字〔2007〕66号）；</w:t>
      </w:r>
    </w:p>
    <w:p w14:paraId="453D82B0">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pPr>
      <w:r>
        <w:rPr>
          <w:rFonts w:ascii="宋体" w:hAnsi="宋体" w:eastAsia="宋体" w:cs="宋体"/>
          <w:color w:val="333333"/>
          <w:sz w:val="26"/>
          <w:szCs w:val="26"/>
        </w:rPr>
        <w:t>• 《关于印发医疗卫生机构网络安全管理办法的通知》（国卫规划发〔2022〕29号）；</w:t>
      </w:r>
    </w:p>
    <w:p w14:paraId="2BCABD0E">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pPr>
      <w:r>
        <w:rPr>
          <w:rFonts w:ascii="宋体" w:hAnsi="宋体" w:eastAsia="宋体" w:cs="宋体"/>
          <w:color w:val="333333"/>
          <w:sz w:val="26"/>
          <w:szCs w:val="26"/>
        </w:rPr>
        <w:t>• 《关于转发〈网络安全等级测评报告模板（2025版）〉的通知》；</w:t>
      </w:r>
    </w:p>
    <w:p w14:paraId="22EB09BC">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pPr>
      <w:r>
        <w:rPr>
          <w:rFonts w:ascii="宋体" w:hAnsi="宋体" w:eastAsia="宋体" w:cs="宋体"/>
          <w:color w:val="333333"/>
          <w:sz w:val="26"/>
          <w:szCs w:val="26"/>
        </w:rPr>
        <w:t>• GB/T 22239-2019《信息安全技术 网络安全等级保护基本要求》；</w:t>
      </w:r>
    </w:p>
    <w:p w14:paraId="475A10F7">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pPr>
      <w:r>
        <w:rPr>
          <w:rFonts w:ascii="宋体" w:hAnsi="宋体" w:eastAsia="宋体" w:cs="宋体"/>
          <w:color w:val="333333"/>
          <w:sz w:val="26"/>
          <w:szCs w:val="26"/>
        </w:rPr>
        <w:t>• GB/T 28448-2019《信息安全技术 网络安全等级保护测评要求》；</w:t>
      </w:r>
    </w:p>
    <w:p w14:paraId="0D4A0243">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pPr>
      <w:r>
        <w:rPr>
          <w:rFonts w:ascii="宋体" w:hAnsi="宋体" w:eastAsia="宋体" w:cs="宋体"/>
          <w:color w:val="333333"/>
          <w:sz w:val="26"/>
          <w:szCs w:val="26"/>
        </w:rPr>
        <w:t>• GB/T 28449-2018《信息安全技术 网络安全等级保护测评过程指南》；</w:t>
      </w:r>
    </w:p>
    <w:p w14:paraId="07ED25B0">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pPr>
      <w:r>
        <w:rPr>
          <w:rFonts w:ascii="宋体" w:hAnsi="宋体" w:eastAsia="宋体" w:cs="宋体"/>
          <w:color w:val="333333"/>
          <w:sz w:val="26"/>
          <w:szCs w:val="26"/>
        </w:rPr>
        <w:t>• GB/T 22240-2020《信息安全技术 网络安全等级保护定级指南》；</w:t>
      </w:r>
    </w:p>
    <w:p w14:paraId="40DF1A97">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pPr>
      <w:r>
        <w:rPr>
          <w:rFonts w:ascii="宋体" w:hAnsi="宋体" w:eastAsia="宋体" w:cs="宋体"/>
          <w:color w:val="333333"/>
          <w:sz w:val="26"/>
          <w:szCs w:val="26"/>
        </w:rPr>
        <w:t>• GB/T 25070-2019《信息安全技术 网络安全等级保护设计技术要求》；</w:t>
      </w:r>
    </w:p>
    <w:p w14:paraId="73DE28AD">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pPr>
      <w:r>
        <w:rPr>
          <w:rFonts w:ascii="宋体" w:hAnsi="宋体" w:eastAsia="宋体" w:cs="宋体"/>
          <w:color w:val="333333"/>
          <w:sz w:val="26"/>
          <w:szCs w:val="26"/>
        </w:rPr>
        <w:t>• GB/T 25058-2019《信息安全技术 信息系统安全等级保护实施指南》。</w:t>
      </w:r>
    </w:p>
    <w:p w14:paraId="11885312">
      <w:pPr>
        <w:pStyle w:val="2"/>
        <w:spacing w:before="360" w:after="160" w:line="276" w:lineRule="auto"/>
        <w:jc w:val="left"/>
      </w:pPr>
      <w:r>
        <w:rPr>
          <w:rFonts w:ascii="黑体" w:hAnsi="黑体" w:eastAsia="黑体" w:cs="黑体"/>
          <w:b/>
          <w:bCs/>
          <w:color w:val="333333"/>
          <w:sz w:val="44"/>
          <w:szCs w:val="44"/>
        </w:rPr>
        <w:t>三、技术要求</w:t>
      </w:r>
    </w:p>
    <w:p w14:paraId="6532254D">
      <w:pPr>
        <w:pStyle w:val="3"/>
        <w:spacing w:before="240" w:after="120" w:line="276" w:lineRule="auto"/>
        <w:jc w:val="left"/>
      </w:pPr>
      <w:r>
        <w:rPr>
          <w:rFonts w:ascii="黑体" w:hAnsi="黑体" w:eastAsia="黑体" w:cs="黑体"/>
          <w:b/>
          <w:bCs/>
          <w:color w:val="333333"/>
          <w:sz w:val="36"/>
          <w:szCs w:val="36"/>
        </w:rPr>
        <w:t>（一）测评内容与要求</w:t>
      </w:r>
    </w:p>
    <w:p w14:paraId="27B20C9A">
      <w:pPr>
        <w:keepNext w:val="0"/>
        <w:keepLines w:val="0"/>
        <w:pageBreakBefore w:val="0"/>
        <w:widowControl/>
        <w:kinsoku/>
        <w:wordWrap/>
        <w:overflowPunct/>
        <w:topLinePunct w:val="0"/>
        <w:autoSpaceDE/>
        <w:autoSpaceDN/>
        <w:bidi w:val="0"/>
        <w:adjustRightInd/>
        <w:snapToGrid/>
        <w:spacing w:after="80" w:line="560" w:lineRule="exact"/>
        <w:ind w:firstLine="480"/>
        <w:jc w:val="both"/>
        <w:textAlignment w:val="auto"/>
        <w:rPr>
          <w:sz w:val="28"/>
          <w:szCs w:val="28"/>
        </w:rPr>
      </w:pPr>
      <w:r>
        <w:rPr>
          <w:rFonts w:ascii="宋体" w:hAnsi="宋体" w:eastAsia="宋体" w:cs="宋体"/>
          <w:b w:val="0"/>
          <w:bCs w:val="0"/>
          <w:color w:val="333333"/>
          <w:sz w:val="28"/>
          <w:szCs w:val="28"/>
        </w:rPr>
        <w:t>供应商须依据等级保护政策要求、技术标准和管理规范以及行业要求开展测评，内容包括但不限于以下三个层面：</w:t>
      </w:r>
    </w:p>
    <w:p w14:paraId="46CDB4F0">
      <w:pPr>
        <w:keepNext w:val="0"/>
        <w:keepLines w:val="0"/>
        <w:pageBreakBefore w:val="0"/>
        <w:widowControl/>
        <w:kinsoku/>
        <w:wordWrap/>
        <w:overflowPunct/>
        <w:topLinePunct w:val="0"/>
        <w:autoSpaceDE/>
        <w:autoSpaceDN/>
        <w:bidi w:val="0"/>
        <w:adjustRightInd/>
        <w:snapToGrid/>
        <w:spacing w:after="40" w:line="560" w:lineRule="exact"/>
        <w:textAlignment w:val="auto"/>
        <w:rPr>
          <w:sz w:val="28"/>
          <w:szCs w:val="28"/>
        </w:rPr>
      </w:pPr>
    </w:p>
    <w:p w14:paraId="06571E1F">
      <w:pPr>
        <w:keepNext w:val="0"/>
        <w:keepLines w:val="0"/>
        <w:pageBreakBefore w:val="0"/>
        <w:widowControl/>
        <w:kinsoku/>
        <w:wordWrap/>
        <w:overflowPunct/>
        <w:topLinePunct w:val="0"/>
        <w:autoSpaceDE/>
        <w:autoSpaceDN/>
        <w:bidi w:val="0"/>
        <w:adjustRightInd/>
        <w:snapToGrid/>
        <w:spacing w:after="80" w:line="560" w:lineRule="exact"/>
        <w:ind w:firstLine="480"/>
        <w:jc w:val="both"/>
        <w:textAlignment w:val="auto"/>
        <w:rPr>
          <w:sz w:val="28"/>
          <w:szCs w:val="28"/>
        </w:rPr>
      </w:pPr>
      <w:r>
        <w:rPr>
          <w:rFonts w:ascii="宋体" w:hAnsi="宋体" w:eastAsia="宋体" w:cs="宋体"/>
          <w:b w:val="0"/>
          <w:bCs w:val="0"/>
          <w:color w:val="333333"/>
          <w:sz w:val="28"/>
          <w:szCs w:val="28"/>
        </w:rPr>
        <w:t>1. 安全技术测评</w:t>
      </w:r>
    </w:p>
    <w:p w14:paraId="19499C21">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安全物理环境：针对物理机房的安全控制要求，涉及物理位置选择、物理访问控制、防盗窃和防破坏、防雷击、防火、防水和防潮、防静电、温湿度控制、电力供应和电磁防护等安全控制点；</w:t>
      </w:r>
    </w:p>
    <w:p w14:paraId="5125D430">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安全通信网络：针对广域网、城域网和局域网的安全控制要求，涉及网络架构、通信传输和可信验证等安全控制点；</w:t>
      </w:r>
    </w:p>
    <w:p w14:paraId="55D7AB0F">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安全区域边界：针对系统边界和区域边界的安全控制要求，涉及边界防护、访问控制、入侵防范、恶意代码防范、安全审计和可信验证等安全控制点；</w:t>
      </w:r>
    </w:p>
    <w:p w14:paraId="18A78C01">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安全计算环境：针对网络设备、安全设备、服务器设备、终端设备、应用系统、数据对象和其他设备的安全控制要求，涉及身份鉴别、访问控制、安全审计、入侵防范、恶意代码防范、可信验证、数据完整性、数据保密性、数据备份与恢复、剩余信息保护和个人信息保护等安全控制点；</w:t>
      </w:r>
    </w:p>
    <w:p w14:paraId="6E41A8CA">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安全管理中心：针对整个系统安全管理方面的技术控制要求，通过技术手段实现集中管理，涉及系统管理、审计管理、安全管理和集中管控等安全控制点。</w:t>
      </w:r>
    </w:p>
    <w:p w14:paraId="1C069B7C">
      <w:pPr>
        <w:keepNext w:val="0"/>
        <w:keepLines w:val="0"/>
        <w:pageBreakBefore w:val="0"/>
        <w:widowControl/>
        <w:kinsoku/>
        <w:wordWrap/>
        <w:overflowPunct/>
        <w:topLinePunct w:val="0"/>
        <w:autoSpaceDE/>
        <w:autoSpaceDN/>
        <w:bidi w:val="0"/>
        <w:adjustRightInd/>
        <w:snapToGrid/>
        <w:spacing w:after="40" w:line="560" w:lineRule="exact"/>
        <w:textAlignment w:val="auto"/>
        <w:rPr>
          <w:sz w:val="28"/>
          <w:szCs w:val="28"/>
        </w:rPr>
      </w:pPr>
    </w:p>
    <w:p w14:paraId="11FF3A88">
      <w:pPr>
        <w:keepNext w:val="0"/>
        <w:keepLines w:val="0"/>
        <w:pageBreakBefore w:val="0"/>
        <w:widowControl/>
        <w:kinsoku/>
        <w:wordWrap/>
        <w:overflowPunct/>
        <w:topLinePunct w:val="0"/>
        <w:autoSpaceDE/>
        <w:autoSpaceDN/>
        <w:bidi w:val="0"/>
        <w:adjustRightInd/>
        <w:snapToGrid/>
        <w:spacing w:after="80" w:line="560" w:lineRule="exact"/>
        <w:ind w:firstLine="480"/>
        <w:jc w:val="both"/>
        <w:textAlignment w:val="auto"/>
        <w:rPr>
          <w:sz w:val="28"/>
          <w:szCs w:val="28"/>
        </w:rPr>
      </w:pPr>
      <w:r>
        <w:rPr>
          <w:rFonts w:ascii="宋体" w:hAnsi="宋体" w:eastAsia="宋体" w:cs="宋体"/>
          <w:b w:val="0"/>
          <w:bCs w:val="0"/>
          <w:color w:val="333333"/>
          <w:sz w:val="28"/>
          <w:szCs w:val="28"/>
        </w:rPr>
        <w:t>2. 安全管理测评</w:t>
      </w:r>
    </w:p>
    <w:p w14:paraId="16E87721">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安全管理制度：针对管理制度体系的安全控制要求，涉及安全策略、管理制度、制定和发布以及评审和修订等安全控制点；</w:t>
      </w:r>
    </w:p>
    <w:p w14:paraId="43CD8B3A">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安全管理机构：针对管理组织架构的安全控制要求，涉及岗位设置、人员配备、授权和审批、沟通和合作以及审核和检查等安全控制点；</w:t>
      </w:r>
    </w:p>
    <w:p w14:paraId="79275157">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安全管理人员：针对人员管理的安全控制要求，涉及人员录用、人员离岗、安全意识教育和培训以及外部人员访问管理等安全控制点；</w:t>
      </w:r>
    </w:p>
    <w:p w14:paraId="347EB8E7">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安全建设管理：针对安全建设过程的安全控制要求，涉及定级和备案、安全方案设计、安全产品采购和使用、自行软件开发、外包软件开发、工程实施、测试验收、系统交付、等级测评和服务投标人管理等安全控制点；</w:t>
      </w:r>
    </w:p>
    <w:p w14:paraId="4EAF4F6F">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安全运维管理：针对安全运维过程的安全控制要求，涉及环境管理、资产管理、介质管理、设备维护管理、漏洞和风险管理、网络和系统安全管理、恶意代码防范管理、配置管理、密码管理、变更管理、备份与恢复管理、安全事件处置、应急预案管理和外包运维管理等安全控制点。</w:t>
      </w:r>
    </w:p>
    <w:p w14:paraId="0724E455">
      <w:pPr>
        <w:keepNext w:val="0"/>
        <w:keepLines w:val="0"/>
        <w:pageBreakBefore w:val="0"/>
        <w:widowControl/>
        <w:kinsoku/>
        <w:wordWrap/>
        <w:overflowPunct/>
        <w:topLinePunct w:val="0"/>
        <w:autoSpaceDE/>
        <w:autoSpaceDN/>
        <w:bidi w:val="0"/>
        <w:adjustRightInd/>
        <w:snapToGrid/>
        <w:spacing w:after="40" w:line="560" w:lineRule="exact"/>
        <w:textAlignment w:val="auto"/>
        <w:rPr>
          <w:sz w:val="28"/>
          <w:szCs w:val="28"/>
        </w:rPr>
      </w:pPr>
    </w:p>
    <w:p w14:paraId="54E09554">
      <w:pPr>
        <w:keepNext w:val="0"/>
        <w:keepLines w:val="0"/>
        <w:pageBreakBefore w:val="0"/>
        <w:widowControl/>
        <w:kinsoku/>
        <w:wordWrap/>
        <w:overflowPunct/>
        <w:topLinePunct w:val="0"/>
        <w:autoSpaceDE/>
        <w:autoSpaceDN/>
        <w:bidi w:val="0"/>
        <w:adjustRightInd/>
        <w:snapToGrid/>
        <w:spacing w:after="80" w:line="560" w:lineRule="exact"/>
        <w:ind w:firstLine="480"/>
        <w:jc w:val="both"/>
        <w:textAlignment w:val="auto"/>
        <w:rPr>
          <w:sz w:val="28"/>
          <w:szCs w:val="28"/>
        </w:rPr>
      </w:pPr>
      <w:r>
        <w:rPr>
          <w:rFonts w:ascii="宋体" w:hAnsi="宋体" w:eastAsia="宋体" w:cs="宋体"/>
          <w:b w:val="0"/>
          <w:bCs w:val="0"/>
          <w:color w:val="333333"/>
          <w:sz w:val="28"/>
          <w:szCs w:val="28"/>
        </w:rPr>
        <w:t>3. 系统整体测评</w:t>
      </w:r>
    </w:p>
    <w:p w14:paraId="65169C5E">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控制间测评：分析各安全控制之间的关联性和协调性；</w:t>
      </w:r>
    </w:p>
    <w:p w14:paraId="7ACD858A">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层面间测评：分析安全技术层面与安全管理层面之间的关联性；</w:t>
      </w:r>
    </w:p>
    <w:p w14:paraId="6E044A2B">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区域间测评：分析不同安全区域之间的关联性和整体防护能力；</w:t>
      </w:r>
    </w:p>
    <w:p w14:paraId="79548BC6">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系统结构安全测评：从整体架构角度分析系统的安全防护能力。</w:t>
      </w:r>
    </w:p>
    <w:p w14:paraId="09A59B46">
      <w:pPr>
        <w:pStyle w:val="3"/>
        <w:spacing w:before="240" w:after="120" w:line="276" w:lineRule="auto"/>
        <w:jc w:val="left"/>
      </w:pPr>
      <w:r>
        <w:rPr>
          <w:rFonts w:ascii="黑体" w:hAnsi="黑体" w:eastAsia="黑体" w:cs="黑体"/>
          <w:b/>
          <w:bCs/>
          <w:color w:val="333333"/>
          <w:sz w:val="36"/>
          <w:szCs w:val="36"/>
        </w:rPr>
        <w:t>（二）人员要求</w:t>
      </w:r>
    </w:p>
    <w:p w14:paraId="58617C34">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本项目实施人员须具有丰富的等级保护测评工作经验，测评团队不得少于5人；</w:t>
      </w:r>
    </w:p>
    <w:p w14:paraId="2B032142">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测评人员须具有等级保护测评师资质或注册信息安全员（CISM）证书；</w:t>
      </w:r>
    </w:p>
    <w:p w14:paraId="6EF700E6">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项目负责人须具有高级测评师资质，具备同类项目5年以上管理经验；</w:t>
      </w:r>
    </w:p>
    <w:p w14:paraId="00B46BB1">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供应商须详细描述测评团队的组成、资质及各自职责的划分，配置有经验且稳定的测评人员（未经采购人同意不得更换）；</w:t>
      </w:r>
    </w:p>
    <w:p w14:paraId="103ED112">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在</w:t>
      </w:r>
      <w:r>
        <w:rPr>
          <w:rFonts w:hint="eastAsia" w:cs="宋体"/>
          <w:color w:val="333333"/>
          <w:sz w:val="28"/>
          <w:szCs w:val="28"/>
          <w:lang w:val="en-US" w:eastAsia="zh-CN"/>
        </w:rPr>
        <w:t>实施测评</w:t>
      </w:r>
      <w:r>
        <w:rPr>
          <w:rFonts w:ascii="宋体" w:hAnsi="宋体" w:eastAsia="宋体" w:cs="宋体"/>
          <w:color w:val="333333"/>
          <w:sz w:val="28"/>
          <w:szCs w:val="28"/>
        </w:rPr>
        <w:t>期间提供驻场服务，须定期（每周1次）指派项目经理向采购人汇报当前进度，过程资料须全部留档保存；</w:t>
      </w:r>
    </w:p>
    <w:p w14:paraId="3AAE3107">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供应商须提供近三年（截止开标之日起前3年）网络安全等级保护测评项目的业绩证明（包括项目名称、客户名称、项目内容、合同金额等）。</w:t>
      </w:r>
    </w:p>
    <w:p w14:paraId="77C31BFE">
      <w:pPr>
        <w:pStyle w:val="3"/>
        <w:spacing w:before="240" w:after="120" w:line="276" w:lineRule="auto"/>
        <w:jc w:val="left"/>
      </w:pPr>
      <w:r>
        <w:rPr>
          <w:rFonts w:ascii="黑体" w:hAnsi="黑体" w:eastAsia="黑体" w:cs="黑体"/>
          <w:b/>
          <w:bCs/>
          <w:color w:val="333333"/>
          <w:sz w:val="36"/>
          <w:szCs w:val="36"/>
        </w:rPr>
        <w:t>（三）工具要求</w:t>
      </w:r>
    </w:p>
    <w:p w14:paraId="1CB29D5E">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本项目实施和验收测试所需的测评工具，由供应商负责提供；</w:t>
      </w:r>
    </w:p>
    <w:p w14:paraId="7637967C">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供应商须对测评工具的安全性做出承诺和保证；</w:t>
      </w:r>
    </w:p>
    <w:p w14:paraId="3ED8A085">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供应商须提供测评所使用工具的购买合同或发票等证明文件；</w:t>
      </w:r>
    </w:p>
    <w:p w14:paraId="7D394313">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供应商如拥有自主知识产权的测评软件或测评系统，须提供软件著作权证明文件。</w:t>
      </w:r>
    </w:p>
    <w:p w14:paraId="7C4C6F39">
      <w:pPr>
        <w:pStyle w:val="3"/>
        <w:spacing w:before="240" w:after="120" w:line="276" w:lineRule="auto"/>
        <w:jc w:val="left"/>
      </w:pPr>
      <w:r>
        <w:rPr>
          <w:rFonts w:ascii="黑体" w:hAnsi="黑体" w:eastAsia="黑体" w:cs="黑体"/>
          <w:b/>
          <w:bCs/>
          <w:color w:val="333333"/>
          <w:sz w:val="36"/>
          <w:szCs w:val="36"/>
        </w:rPr>
        <w:t>（四）测评质量要求</w:t>
      </w:r>
    </w:p>
    <w:p w14:paraId="0D80EF67">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供应商须提供质量控制及保证措施方案，包含项目质量控制体系、质量检查方法及质量保证措施等；</w:t>
      </w:r>
    </w:p>
    <w:p w14:paraId="73EC1835">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通过实施有效的项目管理，保证本项目按工作范围、按时间、按质量完成；</w:t>
      </w:r>
    </w:p>
    <w:p w14:paraId="5C5577E7">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供应商须提供专业服务团队或攻防演练实验室平台支持，确保提供高效、精准的安全风险检测结果。</w:t>
      </w:r>
    </w:p>
    <w:p w14:paraId="5CFB6826">
      <w:pPr>
        <w:pStyle w:val="3"/>
        <w:spacing w:before="240" w:after="120" w:line="276" w:lineRule="auto"/>
        <w:jc w:val="left"/>
      </w:pPr>
      <w:r>
        <w:rPr>
          <w:rFonts w:ascii="黑体" w:hAnsi="黑体" w:eastAsia="黑体" w:cs="黑体"/>
          <w:b/>
          <w:bCs/>
          <w:color w:val="333333"/>
          <w:sz w:val="36"/>
          <w:szCs w:val="36"/>
        </w:rPr>
        <w:t>（五）测评风险规避要求</w:t>
      </w:r>
    </w:p>
    <w:p w14:paraId="27C6D2B9">
      <w:pPr>
        <w:keepNext w:val="0"/>
        <w:keepLines w:val="0"/>
        <w:pageBreakBefore w:val="0"/>
        <w:widowControl/>
        <w:kinsoku/>
        <w:wordWrap/>
        <w:overflowPunct/>
        <w:topLinePunct w:val="0"/>
        <w:autoSpaceDE/>
        <w:autoSpaceDN/>
        <w:bidi w:val="0"/>
        <w:adjustRightInd/>
        <w:snapToGrid/>
        <w:spacing w:after="80" w:line="560" w:lineRule="exact"/>
        <w:ind w:firstLine="480"/>
        <w:jc w:val="both"/>
        <w:textAlignment w:val="auto"/>
        <w:rPr>
          <w:sz w:val="28"/>
          <w:szCs w:val="28"/>
        </w:rPr>
      </w:pPr>
      <w:r>
        <w:rPr>
          <w:rFonts w:ascii="宋体" w:hAnsi="宋体" w:eastAsia="宋体" w:cs="宋体"/>
          <w:b w:val="0"/>
          <w:bCs w:val="0"/>
          <w:color w:val="333333"/>
          <w:sz w:val="28"/>
          <w:szCs w:val="28"/>
        </w:rPr>
        <w:t>项目开展工作涉及采购人重要信息系统和数据，在测评过程中必须加强安全保密管理与风险控制，具体要求如下：</w:t>
      </w:r>
    </w:p>
    <w:p w14:paraId="1B6724C7">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指定项目经理为专人负责信息安全测评过程中的安全保密管理工作，对测评活动、测评人员以及相关文档和数据进行安全保密管理，对重点设备的技术检测进行监督，对接入的检测设备进行控制；</w:t>
      </w:r>
    </w:p>
    <w:p w14:paraId="0EA37EDB">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操作的申请和监护：在实施过程中须遵守相关操作章程，防止敏感信息泄漏，确保及时处理意外事件；</w:t>
      </w:r>
    </w:p>
    <w:p w14:paraId="429E1FEA">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操作时间控制：测评直接影响系统工作时，尽可能避开业务高峰敏感时期；</w:t>
      </w:r>
    </w:p>
    <w:p w14:paraId="26BB6900">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人员与数据管理：加强资料管理，测评与被测评单位之间须签署长期保密协议，测评人员与被测评单位之间须有相应的约束和控制措施；</w:t>
      </w:r>
    </w:p>
    <w:p w14:paraId="1ABD8D92">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制定应急预案：根据测评范围界定的系统情况，在实施前制定应急预案；</w:t>
      </w:r>
    </w:p>
    <w:p w14:paraId="0835F4FF">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关键业务系统风险控制：对影响较大的重要关键业务系统，在无法搭建模拟环境的情况下，原则上不采用主动测评工具，采用访谈、检查和简单测试的方式进行；</w:t>
      </w:r>
    </w:p>
    <w:p w14:paraId="41643FB0">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优化扫描策略：对不同主机和设备类型执行分类扫描，有针对性地定制扫描策略选项，减少不必要的脆弱项目测试；</w:t>
      </w:r>
    </w:p>
    <w:p w14:paraId="76B3586A">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数据备份与恢复：对业务系统和数据库主机，应对其上数据进行备份，防止测评过程中对设备与主机的损伤影响业务系统的正常运行。</w:t>
      </w:r>
    </w:p>
    <w:p w14:paraId="7E0E69F8">
      <w:pPr>
        <w:pStyle w:val="3"/>
        <w:spacing w:before="240" w:after="120" w:line="276" w:lineRule="auto"/>
        <w:jc w:val="left"/>
      </w:pPr>
      <w:r>
        <w:rPr>
          <w:rFonts w:ascii="黑体" w:hAnsi="黑体" w:eastAsia="黑体" w:cs="黑体"/>
          <w:b/>
          <w:bCs/>
          <w:color w:val="333333"/>
          <w:sz w:val="36"/>
          <w:szCs w:val="36"/>
        </w:rPr>
        <w:t>（六）响应时间要求</w:t>
      </w:r>
    </w:p>
    <w:p w14:paraId="2A07D2B8">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合同履行期内采购人</w:t>
      </w:r>
      <w:r>
        <w:rPr>
          <w:rFonts w:hint="eastAsia" w:cs="宋体"/>
          <w:color w:val="333333"/>
          <w:sz w:val="28"/>
          <w:szCs w:val="28"/>
          <w:lang w:val="en-US" w:eastAsia="zh-CN"/>
        </w:rPr>
        <w:t>信息系统因网络安全事件造成的核心业务停滞需要供应商协助现场处理的</w:t>
      </w:r>
      <w:r>
        <w:rPr>
          <w:rFonts w:ascii="宋体" w:hAnsi="宋体" w:eastAsia="宋体" w:cs="宋体"/>
          <w:color w:val="333333"/>
          <w:sz w:val="28"/>
          <w:szCs w:val="28"/>
        </w:rPr>
        <w:t>要求30分钟内响应，</w:t>
      </w:r>
      <w:r>
        <w:rPr>
          <w:rFonts w:hint="eastAsia" w:cs="宋体"/>
          <w:color w:val="333333"/>
          <w:sz w:val="28"/>
          <w:szCs w:val="28"/>
          <w:lang w:val="en-US" w:eastAsia="zh-CN"/>
        </w:rPr>
        <w:t>1</w:t>
      </w:r>
      <w:r>
        <w:rPr>
          <w:rFonts w:ascii="宋体" w:hAnsi="宋体" w:eastAsia="宋体" w:cs="宋体"/>
          <w:color w:val="333333"/>
          <w:sz w:val="28"/>
          <w:szCs w:val="28"/>
        </w:rPr>
        <w:t>小时内到达现场；</w:t>
      </w:r>
    </w:p>
    <w:p w14:paraId="4149150F">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服务方式包括电话技术支持、远程技术支持、现场技术支持等。</w:t>
      </w:r>
    </w:p>
    <w:p w14:paraId="0EDCE49C">
      <w:pPr>
        <w:pStyle w:val="2"/>
        <w:spacing w:before="360" w:after="160" w:line="276" w:lineRule="auto"/>
        <w:jc w:val="left"/>
      </w:pPr>
      <w:r>
        <w:rPr>
          <w:rFonts w:ascii="黑体" w:hAnsi="黑体" w:eastAsia="黑体" w:cs="黑体"/>
          <w:b/>
          <w:bCs/>
          <w:color w:val="333333"/>
          <w:sz w:val="44"/>
          <w:szCs w:val="44"/>
        </w:rPr>
        <w:t>四、商务要求</w:t>
      </w:r>
    </w:p>
    <w:p w14:paraId="417355B2">
      <w:pPr>
        <w:pStyle w:val="3"/>
        <w:spacing w:before="240" w:after="120" w:line="276" w:lineRule="auto"/>
        <w:jc w:val="left"/>
      </w:pPr>
      <w:r>
        <w:rPr>
          <w:rFonts w:ascii="黑体" w:hAnsi="黑体" w:eastAsia="黑体" w:cs="黑体"/>
          <w:b/>
          <w:bCs/>
          <w:color w:val="333333"/>
          <w:sz w:val="36"/>
          <w:szCs w:val="36"/>
        </w:rPr>
        <w:t>4.1 服务周期</w:t>
      </w:r>
    </w:p>
    <w:p w14:paraId="2EAF14DA">
      <w:pPr>
        <w:keepNext w:val="0"/>
        <w:keepLines w:val="0"/>
        <w:pageBreakBefore w:val="0"/>
        <w:widowControl/>
        <w:kinsoku/>
        <w:wordWrap/>
        <w:overflowPunct/>
        <w:topLinePunct w:val="0"/>
        <w:autoSpaceDE/>
        <w:autoSpaceDN/>
        <w:bidi w:val="0"/>
        <w:adjustRightInd/>
        <w:snapToGrid/>
        <w:spacing w:after="80" w:line="560" w:lineRule="exact"/>
        <w:ind w:firstLine="482"/>
        <w:jc w:val="both"/>
        <w:textAlignment w:val="auto"/>
      </w:pPr>
      <w:r>
        <w:rPr>
          <w:rFonts w:ascii="宋体" w:hAnsi="宋体" w:eastAsia="宋体" w:cs="宋体"/>
          <w:color w:val="333333"/>
          <w:sz w:val="26"/>
          <w:szCs w:val="26"/>
        </w:rPr>
        <w:t xml:space="preserve">• </w:t>
      </w:r>
      <w:r>
        <w:rPr>
          <w:rFonts w:ascii="宋体" w:hAnsi="宋体" w:eastAsia="宋体"/>
          <w:b w:val="0"/>
          <w:color w:val="auto"/>
          <w:sz w:val="28"/>
        </w:rPr>
        <w:t>服务周期：自</w:t>
      </w:r>
      <w:r>
        <w:rPr>
          <w:rFonts w:hint="eastAsia" w:ascii="宋体" w:hAnsi="宋体" w:eastAsia="宋体"/>
          <w:b w:val="0"/>
          <w:color w:val="auto"/>
          <w:sz w:val="28"/>
          <w:lang w:val="en-US" w:eastAsia="zh-CN"/>
        </w:rPr>
        <w:t>采购人</w:t>
      </w:r>
      <w:r>
        <w:rPr>
          <w:rFonts w:ascii="宋体" w:hAnsi="宋体" w:eastAsia="宋体"/>
          <w:b w:val="0"/>
          <w:color w:val="auto"/>
          <w:sz w:val="28"/>
        </w:rPr>
        <w:t>书面通知开工之日起计算12个月。</w:t>
      </w:r>
    </w:p>
    <w:p w14:paraId="65BAAA5D">
      <w:pPr>
        <w:pStyle w:val="3"/>
        <w:spacing w:before="240" w:after="120" w:line="276" w:lineRule="auto"/>
        <w:jc w:val="left"/>
      </w:pPr>
      <w:r>
        <w:rPr>
          <w:rFonts w:ascii="黑体" w:hAnsi="黑体" w:eastAsia="黑体" w:cs="黑体"/>
          <w:b/>
          <w:bCs/>
          <w:color w:val="333333"/>
          <w:sz w:val="36"/>
          <w:szCs w:val="36"/>
        </w:rPr>
        <w:t>4.2 报价要求</w:t>
      </w:r>
    </w:p>
    <w:p w14:paraId="5694A9A6">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投标报价采用总价包干形式，包括完成采购文件所确定的工作范围内的全部费用；</w:t>
      </w:r>
    </w:p>
    <w:p w14:paraId="6E33C1DB">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投标总报价为“交钥匙”价，包含所有可能发生的费用，对在合同实施过程中可能发生的其他费用，采购人概不负责；</w:t>
      </w:r>
    </w:p>
    <w:p w14:paraId="5E32769B">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对本文件未列明而投标人认为必需的费用也须列入投标总报价，在合同实施时采购人将不予支付未列入项目的费用。</w:t>
      </w:r>
    </w:p>
    <w:p w14:paraId="4C5F257C">
      <w:pPr>
        <w:pStyle w:val="3"/>
        <w:spacing w:before="240" w:after="120" w:line="276" w:lineRule="auto"/>
        <w:jc w:val="left"/>
      </w:pPr>
      <w:r>
        <w:rPr>
          <w:rFonts w:ascii="黑体" w:hAnsi="黑体" w:eastAsia="黑体" w:cs="黑体"/>
          <w:b/>
          <w:bCs/>
          <w:color w:val="333333"/>
          <w:sz w:val="36"/>
          <w:szCs w:val="36"/>
        </w:rPr>
        <w:t>4.3 付款方式</w:t>
      </w:r>
    </w:p>
    <w:p w14:paraId="42945618">
      <w:pPr>
        <w:keepNext w:val="0"/>
        <w:keepLines w:val="0"/>
        <w:pageBreakBefore w:val="0"/>
        <w:widowControl/>
        <w:kinsoku/>
        <w:wordWrap/>
        <w:overflowPunct/>
        <w:topLinePunct w:val="0"/>
        <w:autoSpaceDE/>
        <w:autoSpaceDN/>
        <w:bidi w:val="0"/>
        <w:adjustRightInd/>
        <w:snapToGrid/>
        <w:spacing w:after="80" w:line="560" w:lineRule="exact"/>
        <w:ind w:firstLine="480"/>
        <w:jc w:val="both"/>
        <w:textAlignment w:val="auto"/>
        <w:rPr>
          <w:sz w:val="28"/>
          <w:szCs w:val="28"/>
        </w:rPr>
      </w:pPr>
      <w:r>
        <w:rPr>
          <w:rFonts w:ascii="宋体" w:hAnsi="宋体" w:eastAsia="宋体" w:cs="宋体"/>
          <w:b w:val="0"/>
          <w:bCs w:val="0"/>
          <w:color w:val="333333"/>
          <w:sz w:val="28"/>
          <w:szCs w:val="28"/>
        </w:rPr>
        <w:t>付款方式：转账。供应商在每次收款前，均应当向采购人开具等额有效的正规发票。费用按如下方式支付：</w:t>
      </w:r>
    </w:p>
    <w:p w14:paraId="2F0379BA">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第一阶段：双方签订正式合同后，供应商向采购人开具相应金额的发票，采购人在收到合格的发票后10个工作日内向供应商支付合同总价款的</w:t>
      </w:r>
      <w:r>
        <w:rPr>
          <w:rFonts w:hint="eastAsia" w:cs="宋体"/>
          <w:color w:val="333333"/>
          <w:sz w:val="28"/>
          <w:szCs w:val="28"/>
          <w:lang w:val="en-US" w:eastAsia="zh-CN"/>
        </w:rPr>
        <w:t>30</w:t>
      </w:r>
      <w:r>
        <w:rPr>
          <w:rFonts w:ascii="宋体" w:hAnsi="宋体" w:eastAsia="宋体" w:cs="宋体"/>
          <w:color w:val="333333"/>
          <w:sz w:val="28"/>
          <w:szCs w:val="28"/>
        </w:rPr>
        <w:t>%；</w:t>
      </w:r>
    </w:p>
    <w:p w14:paraId="3AD9E823">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第二阶段：供应商向采购人提交符合公安部门要求的《网络安全等级保护测评报告》后，供应商向采购人开具相应金额的发票，采购人在收到合格的发票后10个工作日内向供应商支付剩余</w:t>
      </w:r>
      <w:r>
        <w:rPr>
          <w:rFonts w:hint="eastAsia" w:cs="宋体"/>
          <w:color w:val="333333"/>
          <w:sz w:val="28"/>
          <w:szCs w:val="28"/>
          <w:lang w:val="en-US" w:eastAsia="zh-CN"/>
        </w:rPr>
        <w:t>70</w:t>
      </w:r>
      <w:r>
        <w:rPr>
          <w:rFonts w:ascii="宋体" w:hAnsi="宋体" w:eastAsia="宋体" w:cs="宋体"/>
          <w:color w:val="333333"/>
          <w:sz w:val="28"/>
          <w:szCs w:val="28"/>
        </w:rPr>
        <w:t>%价款。</w:t>
      </w:r>
    </w:p>
    <w:p w14:paraId="73AFED53">
      <w:pPr>
        <w:pStyle w:val="3"/>
        <w:spacing w:before="240" w:after="120" w:line="276" w:lineRule="auto"/>
        <w:jc w:val="left"/>
      </w:pPr>
      <w:r>
        <w:rPr>
          <w:rFonts w:ascii="黑体" w:hAnsi="黑体" w:eastAsia="黑体" w:cs="黑体"/>
          <w:b/>
          <w:bCs/>
          <w:color w:val="333333"/>
          <w:sz w:val="36"/>
          <w:szCs w:val="36"/>
        </w:rPr>
        <w:t>4.4 验收标准</w:t>
      </w:r>
    </w:p>
    <w:p w14:paraId="54E11F53">
      <w:pPr>
        <w:keepNext w:val="0"/>
        <w:keepLines w:val="0"/>
        <w:pageBreakBefore w:val="0"/>
        <w:widowControl/>
        <w:kinsoku/>
        <w:wordWrap/>
        <w:overflowPunct/>
        <w:topLinePunct w:val="0"/>
        <w:autoSpaceDE/>
        <w:autoSpaceDN/>
        <w:bidi w:val="0"/>
        <w:adjustRightInd/>
        <w:snapToGrid/>
        <w:spacing w:after="80" w:line="560" w:lineRule="exact"/>
        <w:ind w:firstLine="482"/>
        <w:jc w:val="both"/>
        <w:textAlignment w:val="auto"/>
        <w:rPr>
          <w:rFonts w:ascii="宋体" w:hAnsi="宋体" w:eastAsia="宋体" w:cs="宋体"/>
          <w:b w:val="0"/>
          <w:bCs w:val="0"/>
          <w:color w:val="333333"/>
          <w:sz w:val="28"/>
          <w:szCs w:val="28"/>
        </w:rPr>
      </w:pPr>
      <w:r>
        <w:rPr>
          <w:rFonts w:ascii="宋体" w:hAnsi="宋体" w:eastAsia="宋体" w:cs="宋体"/>
          <w:b w:val="0"/>
          <w:bCs w:val="0"/>
          <w:color w:val="333333"/>
          <w:sz w:val="28"/>
          <w:szCs w:val="28"/>
        </w:rPr>
        <w:t>验收内容包括：供应商按照合同约定提交《网络安全等级保护测评报告》原件和相关过程文档，经采购人确认。</w:t>
      </w:r>
    </w:p>
    <w:p w14:paraId="3E843A48">
      <w:pPr>
        <w:keepNext w:val="0"/>
        <w:keepLines w:val="0"/>
        <w:pageBreakBefore w:val="0"/>
        <w:widowControl/>
        <w:kinsoku/>
        <w:wordWrap/>
        <w:overflowPunct/>
        <w:topLinePunct w:val="0"/>
        <w:autoSpaceDE/>
        <w:autoSpaceDN/>
        <w:bidi w:val="0"/>
        <w:adjustRightInd/>
        <w:snapToGrid/>
        <w:spacing w:after="80" w:line="560" w:lineRule="exact"/>
        <w:ind w:firstLine="482"/>
        <w:jc w:val="both"/>
        <w:textAlignment w:val="auto"/>
        <w:rPr>
          <w:sz w:val="28"/>
          <w:szCs w:val="28"/>
        </w:rPr>
      </w:pPr>
      <w:r>
        <w:rPr>
          <w:rFonts w:ascii="宋体" w:hAnsi="宋体" w:eastAsia="宋体" w:cs="宋体"/>
          <w:b w:val="0"/>
          <w:bCs w:val="0"/>
          <w:color w:val="333333"/>
          <w:sz w:val="28"/>
          <w:szCs w:val="28"/>
        </w:rPr>
        <w:t>验收标准为：出具符合公安部门最新要求的《网络安全等级保护测评报告》。</w:t>
      </w:r>
    </w:p>
    <w:p w14:paraId="39459426">
      <w:pPr>
        <w:pStyle w:val="3"/>
        <w:spacing w:before="240" w:after="120" w:line="276" w:lineRule="auto"/>
        <w:jc w:val="left"/>
      </w:pPr>
      <w:r>
        <w:rPr>
          <w:rFonts w:ascii="黑体" w:hAnsi="黑体" w:eastAsia="黑体" w:cs="黑体"/>
          <w:b/>
          <w:bCs/>
          <w:color w:val="333333"/>
          <w:sz w:val="36"/>
          <w:szCs w:val="36"/>
        </w:rPr>
        <w:t>4.5 保密要求</w:t>
      </w:r>
    </w:p>
    <w:p w14:paraId="524DFEC3">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供应商须与采购人签订保密协议，供应商须与参加此次项目的所有项目组成员签订保密协议，在合同签订时一并提供给采购人；</w:t>
      </w:r>
    </w:p>
    <w:p w14:paraId="5E87BBFC">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供应商具体实施项目中的重要资料和结果，在项目实施期间和实施结束后，不得带离采购人场所；</w:t>
      </w:r>
    </w:p>
    <w:p w14:paraId="19F76825">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供应商对本项目中的内容及在应标过程中接触的设备信息、数据资料等负有保密责任，不得泄露给任何第三方，无论供应商中标与否，其对上述内容的保密责任将长期存在；</w:t>
      </w:r>
    </w:p>
    <w:p w14:paraId="1D2416AE">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供应商须保守在测评活动中知悉的国家秘密、商业秘密和个人隐私，防范测评风险；</w:t>
      </w:r>
    </w:p>
    <w:p w14:paraId="7E7DA269">
      <w:pPr>
        <w:keepNext w:val="0"/>
        <w:keepLines w:val="0"/>
        <w:pageBreakBefore w:val="0"/>
        <w:widowControl/>
        <w:kinsoku/>
        <w:wordWrap/>
        <w:overflowPunct/>
        <w:topLinePunct w:val="0"/>
        <w:autoSpaceDE/>
        <w:autoSpaceDN/>
        <w:bidi w:val="0"/>
        <w:adjustRightInd/>
        <w:snapToGrid/>
        <w:spacing w:after="80" w:line="560" w:lineRule="exact"/>
        <w:ind w:left="799" w:hanging="482"/>
        <w:jc w:val="left"/>
        <w:textAlignment w:val="auto"/>
        <w:rPr>
          <w:sz w:val="28"/>
          <w:szCs w:val="28"/>
        </w:rPr>
      </w:pPr>
      <w:r>
        <w:rPr>
          <w:rFonts w:ascii="宋体" w:hAnsi="宋体" w:eastAsia="宋体" w:cs="宋体"/>
          <w:color w:val="333333"/>
          <w:sz w:val="28"/>
          <w:szCs w:val="28"/>
        </w:rPr>
        <w:t>• 供应商须对测评人员进行安全保密教育，与其签订安全保密责任书，规定应当履行的安全保密义务和承担的法律责任，并负责检查落实。</w:t>
      </w:r>
    </w:p>
    <w:p w14:paraId="41059D39">
      <w:pPr>
        <w:pStyle w:val="3"/>
        <w:spacing w:before="240" w:after="120" w:line="276" w:lineRule="auto"/>
        <w:jc w:val="left"/>
      </w:pPr>
      <w:r>
        <w:rPr>
          <w:rFonts w:ascii="黑体" w:hAnsi="黑体" w:eastAsia="黑体" w:cs="黑体"/>
          <w:b/>
          <w:bCs/>
          <w:color w:val="333333"/>
          <w:sz w:val="36"/>
          <w:szCs w:val="36"/>
        </w:rPr>
        <w:t>4.6 供应商资格要求</w:t>
      </w:r>
    </w:p>
    <w:p w14:paraId="5078485F">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满足《中华人民共和国政府采购法》第二十二条规定；</w:t>
      </w:r>
    </w:p>
    <w:p w14:paraId="0230AE66">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单位负责人为同一人或者存在直接控股、管理关系的不同投标人，不得参加本项目同一合同项下的政府采购活动；</w:t>
      </w:r>
    </w:p>
    <w:p w14:paraId="05D8AFC7">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为本采购项目提供整体设计、规范编制或者项目管理、监理、检测等服务的，不得再参加本项目的其他招标采购活动；</w:t>
      </w:r>
    </w:p>
    <w:p w14:paraId="3D443B8D">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未被列入失信被执行人、重大税收违法案件当事人名单，未被列入政府采购严重违法失信行为记录名单；</w:t>
      </w:r>
    </w:p>
    <w:p w14:paraId="00ABD39A">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投标人必须具有公安部第三研究所颁发的有效期内的《网络安全服务认证证书等级</w:t>
      </w:r>
      <w:bookmarkStart w:id="0" w:name="_GoBack"/>
      <w:bookmarkEnd w:id="0"/>
      <w:r>
        <w:rPr>
          <w:rFonts w:ascii="宋体" w:hAnsi="宋体" w:eastAsia="宋体" w:cs="宋体"/>
          <w:color w:val="333333"/>
          <w:sz w:val="28"/>
          <w:szCs w:val="28"/>
        </w:rPr>
        <w:t>保护测评服务认证》；</w:t>
      </w:r>
    </w:p>
    <w:p w14:paraId="69080227">
      <w:pPr>
        <w:keepNext w:val="0"/>
        <w:keepLines w:val="0"/>
        <w:pageBreakBefore w:val="0"/>
        <w:widowControl/>
        <w:kinsoku/>
        <w:wordWrap/>
        <w:overflowPunct/>
        <w:topLinePunct w:val="0"/>
        <w:autoSpaceDE/>
        <w:autoSpaceDN/>
        <w:bidi w:val="0"/>
        <w:adjustRightInd/>
        <w:snapToGrid/>
        <w:spacing w:after="80" w:line="560" w:lineRule="exact"/>
        <w:ind w:left="800" w:hanging="480"/>
        <w:jc w:val="left"/>
        <w:textAlignment w:val="auto"/>
        <w:rPr>
          <w:sz w:val="28"/>
          <w:szCs w:val="28"/>
        </w:rPr>
      </w:pPr>
      <w:r>
        <w:rPr>
          <w:rFonts w:ascii="宋体" w:hAnsi="宋体" w:eastAsia="宋体" w:cs="宋体"/>
          <w:color w:val="333333"/>
          <w:sz w:val="28"/>
          <w:szCs w:val="28"/>
        </w:rPr>
        <w:t>• 本项目不接受联合体投标，不接受进口产品。</w:t>
      </w:r>
    </w:p>
    <w:p w14:paraId="5CA4A316">
      <w:pPr>
        <w:keepNext w:val="0"/>
        <w:keepLines w:val="0"/>
        <w:pageBreakBefore w:val="0"/>
        <w:widowControl/>
        <w:kinsoku/>
        <w:wordWrap/>
        <w:overflowPunct/>
        <w:topLinePunct w:val="0"/>
        <w:autoSpaceDE/>
        <w:autoSpaceDN/>
        <w:bidi w:val="0"/>
        <w:adjustRightInd/>
        <w:snapToGrid/>
        <w:spacing w:after="240" w:line="560" w:lineRule="exact"/>
        <w:textAlignment w:val="auto"/>
      </w:pPr>
    </w:p>
    <w:p w14:paraId="6386FD22">
      <w:pPr>
        <w:keepNext w:val="0"/>
        <w:keepLines w:val="0"/>
        <w:pageBreakBefore w:val="0"/>
        <w:widowControl/>
        <w:kinsoku/>
        <w:wordWrap/>
        <w:overflowPunct/>
        <w:topLinePunct w:val="0"/>
        <w:autoSpaceDE/>
        <w:autoSpaceDN/>
        <w:bidi w:val="0"/>
        <w:adjustRightInd/>
        <w:snapToGrid/>
        <w:spacing w:line="560" w:lineRule="exact"/>
        <w:jc w:val="right"/>
        <w:textAlignment w:val="auto"/>
      </w:pPr>
      <w:r>
        <w:rPr>
          <w:rFonts w:ascii="宋体" w:hAnsi="宋体" w:eastAsia="宋体" w:cs="宋体"/>
          <w:b/>
          <w:bCs/>
          <w:color w:val="333333"/>
          <w:sz w:val="28"/>
          <w:szCs w:val="28"/>
        </w:rPr>
        <w:t>武汉市肺科医院</w:t>
      </w:r>
    </w:p>
    <w:p w14:paraId="6334CFE9">
      <w:pPr>
        <w:keepNext w:val="0"/>
        <w:keepLines w:val="0"/>
        <w:pageBreakBefore w:val="0"/>
        <w:widowControl/>
        <w:kinsoku/>
        <w:wordWrap/>
        <w:overflowPunct/>
        <w:topLinePunct w:val="0"/>
        <w:autoSpaceDE/>
        <w:autoSpaceDN/>
        <w:bidi w:val="0"/>
        <w:adjustRightInd/>
        <w:snapToGrid/>
        <w:spacing w:line="560" w:lineRule="exact"/>
        <w:jc w:val="right"/>
        <w:textAlignment w:val="auto"/>
      </w:pPr>
      <w:r>
        <w:rPr>
          <w:rFonts w:ascii="宋体" w:hAnsi="宋体" w:eastAsia="宋体" w:cs="宋体"/>
          <w:b w:val="0"/>
          <w:bCs w:val="0"/>
          <w:color w:val="333333"/>
          <w:sz w:val="26"/>
          <w:szCs w:val="26"/>
        </w:rPr>
        <w:t>（武汉市结核病防治所）</w:t>
      </w:r>
    </w:p>
    <w:p w14:paraId="46F5B9C7">
      <w:pPr>
        <w:keepNext w:val="0"/>
        <w:keepLines w:val="0"/>
        <w:pageBreakBefore w:val="0"/>
        <w:widowControl/>
        <w:kinsoku/>
        <w:wordWrap/>
        <w:overflowPunct/>
        <w:topLinePunct w:val="0"/>
        <w:autoSpaceDE/>
        <w:autoSpaceDN/>
        <w:bidi w:val="0"/>
        <w:adjustRightInd/>
        <w:snapToGrid/>
        <w:spacing w:before="80" w:line="560" w:lineRule="exact"/>
        <w:jc w:val="right"/>
        <w:textAlignment w:val="auto"/>
      </w:pPr>
      <w:r>
        <w:rPr>
          <w:rFonts w:ascii="宋体" w:hAnsi="宋体" w:eastAsia="宋体" w:cs="宋体"/>
          <w:b w:val="0"/>
          <w:bCs w:val="0"/>
          <w:color w:val="333333"/>
          <w:sz w:val="26"/>
          <w:szCs w:val="26"/>
        </w:rPr>
        <w:t>2026年6月</w:t>
      </w:r>
    </w:p>
    <w:sectPr>
      <w:headerReference r:id="rId5" w:type="default"/>
      <w:footerReference r:id="rId6" w:type="default"/>
      <w:pgSz w:w="12240" w:h="15840"/>
      <w:pgMar w:top="1440" w:right="1440" w:bottom="1440" w:left="1440" w:header="708" w:footer="708"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47C93">
    <w:pPr>
      <w:spacing w:line="276" w:lineRule="auto"/>
      <w:jc w:val="cente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7109D4">
                          <w:pPr>
                            <w:pStyle w:val="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B7109D4">
                    <w:pPr>
                      <w:pStyle w:val="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9</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747CF">
    <w:pPr>
      <w:pBdr>
        <w:bottom w:val="single" w:color="CCCCCC" w:sz="4" w:space="4"/>
      </w:pBdr>
      <w:spacing w:line="276" w:lineRule="aut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footnotePr>
    <w:footnote w:id="0"/>
    <w:footnote w:id="1"/>
  </w:footnotePr>
  <w:endnotePr>
    <w:endnote w:id="0"/>
    <w:endnote w:id="1"/>
  </w:endnotePr>
  <w:compat>
    <w:useFELayout/>
    <w:compatSetting w:name="compatibilityMode" w:uri="http://schemas.microsoft.com/office/word" w:val="15"/>
  </w:compat>
  <w:rsids>
    <w:rsidRoot w:val="00000000"/>
    <w:rsid w:val="106C074C"/>
    <w:rsid w:val="1E8F3F05"/>
    <w:rsid w:val="3C6754B8"/>
    <w:rsid w:val="4DC3589B"/>
    <w:rsid w:val="54FF095A"/>
    <w:rsid w:val="5D221B55"/>
    <w:rsid w:val="5F4A6C73"/>
    <w:rsid w:val="6B013EB0"/>
    <w:rsid w:val="6EA72431"/>
    <w:rsid w:val="73D47CC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宋体" w:hAnsi="宋体" w:eastAsia="宋体" w:cs="宋体"/>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iPriority="99" w:name="endnote reference"/>
    <w:lsdException w:uiPriority="99"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after="200" w:line="276" w:lineRule="auto"/>
    </w:pPr>
    <w:rPr>
      <w:rFonts w:ascii="宋体" w:hAnsi="宋体" w:eastAsia="宋体" w:cs="宋体"/>
      <w:color w:val="333333"/>
      <w:sz w:val="21"/>
      <w:szCs w:val="21"/>
    </w:rPr>
  </w:style>
  <w:style w:type="paragraph" w:styleId="2">
    <w:name w:val="heading 1"/>
    <w:basedOn w:val="1"/>
    <w:next w:val="1"/>
    <w:qFormat/>
    <w:uiPriority w:val="0"/>
    <w:rPr>
      <w:color w:val="2E74B5"/>
      <w:sz w:val="32"/>
      <w:szCs w:val="32"/>
    </w:rPr>
  </w:style>
  <w:style w:type="paragraph" w:styleId="3">
    <w:name w:val="heading 2"/>
    <w:basedOn w:val="1"/>
    <w:next w:val="1"/>
    <w:qFormat/>
    <w:uiPriority w:val="0"/>
    <w:rPr>
      <w:color w:val="2E74B5"/>
      <w:sz w:val="26"/>
      <w:szCs w:val="26"/>
    </w:rPr>
  </w:style>
  <w:style w:type="paragraph" w:styleId="4">
    <w:name w:val="heading 3"/>
    <w:basedOn w:val="1"/>
    <w:next w:val="1"/>
    <w:qFormat/>
    <w:uiPriority w:val="0"/>
    <w:rPr>
      <w:color w:val="1F4D78"/>
      <w:sz w:val="24"/>
      <w:szCs w:val="24"/>
    </w:rPr>
  </w:style>
  <w:style w:type="paragraph" w:styleId="5">
    <w:name w:val="heading 4"/>
    <w:basedOn w:val="1"/>
    <w:next w:val="1"/>
    <w:qFormat/>
    <w:uiPriority w:val="0"/>
    <w:rPr>
      <w:i/>
      <w:iCs/>
      <w:color w:val="2E74B5"/>
    </w:rPr>
  </w:style>
  <w:style w:type="paragraph" w:styleId="6">
    <w:name w:val="heading 5"/>
    <w:basedOn w:val="1"/>
    <w:next w:val="1"/>
    <w:qFormat/>
    <w:uiPriority w:val="0"/>
    <w:rPr>
      <w:color w:val="2E74B5"/>
    </w:rPr>
  </w:style>
  <w:style w:type="paragraph" w:styleId="7">
    <w:name w:val="heading 6"/>
    <w:basedOn w:val="1"/>
    <w:next w:val="1"/>
    <w:qFormat/>
    <w:uiPriority w:val="0"/>
    <w:rPr>
      <w:color w:val="1F4D78"/>
    </w:rPr>
  </w:style>
  <w:style w:type="character" w:default="1" w:styleId="13">
    <w:name w:val="Default Paragraph Font"/>
    <w:semiHidden/>
    <w:uiPriority w:val="0"/>
  </w:style>
  <w:style w:type="table" w:default="1" w:styleId="12">
    <w:name w:val="Normal Table"/>
    <w:semiHidden/>
    <w:uiPriority w:val="0"/>
    <w:tblPr>
      <w:tblCellMar>
        <w:top w:w="0" w:type="dxa"/>
        <w:left w:w="108" w:type="dxa"/>
        <w:bottom w:w="0" w:type="dxa"/>
        <w:right w:w="108" w:type="dxa"/>
      </w:tblCellMar>
    </w:tblPr>
  </w:style>
  <w:style w:type="paragraph" w:styleId="8">
    <w:name w:val="endnote text"/>
    <w:basedOn w:val="1"/>
    <w:link w:val="19"/>
    <w:semiHidden/>
    <w:unhideWhenUsed/>
    <w:uiPriority w:val="99"/>
    <w:pPr>
      <w:spacing w:after="0" w:line="240" w:lineRule="auto"/>
    </w:pPr>
    <w:rPr>
      <w:sz w:val="20"/>
      <w:szCs w:val="20"/>
    </w:rPr>
  </w:style>
  <w:style w:type="paragraph" w:styleId="9">
    <w:name w:val="footer"/>
    <w:basedOn w:val="1"/>
    <w:qFormat/>
    <w:uiPriority w:val="0"/>
    <w:pPr>
      <w:tabs>
        <w:tab w:val="center" w:pos="4153"/>
        <w:tab w:val="right" w:pos="8306"/>
      </w:tabs>
      <w:snapToGrid w:val="0"/>
      <w:jc w:val="left"/>
    </w:pPr>
    <w:rPr>
      <w:sz w:val="18"/>
    </w:rPr>
  </w:style>
  <w:style w:type="paragraph" w:styleId="10">
    <w:name w:val="footnote text"/>
    <w:basedOn w:val="1"/>
    <w:link w:val="18"/>
    <w:semiHidden/>
    <w:unhideWhenUsed/>
    <w:qFormat/>
    <w:uiPriority w:val="99"/>
    <w:pPr>
      <w:spacing w:after="0" w:line="240" w:lineRule="auto"/>
    </w:pPr>
    <w:rPr>
      <w:sz w:val="20"/>
      <w:szCs w:val="20"/>
    </w:rPr>
  </w:style>
  <w:style w:type="paragraph" w:styleId="11">
    <w:name w:val="Title"/>
    <w:basedOn w:val="1"/>
    <w:next w:val="1"/>
    <w:qFormat/>
    <w:uiPriority w:val="0"/>
    <w:rPr>
      <w:sz w:val="56"/>
      <w:szCs w:val="56"/>
    </w:rPr>
  </w:style>
  <w:style w:type="character" w:styleId="14">
    <w:name w:val="endnote reference"/>
    <w:semiHidden/>
    <w:unhideWhenUsed/>
    <w:qFormat/>
    <w:uiPriority w:val="99"/>
    <w:rPr>
      <w:vertAlign w:val="superscript"/>
    </w:rPr>
  </w:style>
  <w:style w:type="character" w:styleId="15">
    <w:name w:val="Hyperlink"/>
    <w:unhideWhenUsed/>
    <w:qFormat/>
    <w:uiPriority w:val="99"/>
    <w:rPr>
      <w:color w:val="0563C1"/>
      <w:u w:val="single"/>
    </w:rPr>
  </w:style>
  <w:style w:type="character" w:styleId="16">
    <w:name w:val="footnote reference"/>
    <w:semiHidden/>
    <w:unhideWhenUsed/>
    <w:qFormat/>
    <w:uiPriority w:val="99"/>
    <w:rPr>
      <w:vertAlign w:val="superscript"/>
    </w:rPr>
  </w:style>
  <w:style w:type="paragraph" w:styleId="17">
    <w:name w:val="List Paragraph"/>
    <w:basedOn w:val="1"/>
    <w:qFormat/>
    <w:uiPriority w:val="0"/>
  </w:style>
  <w:style w:type="character" w:customStyle="1" w:styleId="18">
    <w:name w:val="Footnote Text Char"/>
    <w:link w:val="10"/>
    <w:semiHidden/>
    <w:unhideWhenUsed/>
    <w:qFormat/>
    <w:uiPriority w:val="99"/>
    <w:rPr>
      <w:sz w:val="20"/>
      <w:szCs w:val="20"/>
    </w:rPr>
  </w:style>
  <w:style w:type="character" w:customStyle="1" w:styleId="19">
    <w:name w:val="Endnote Text Char"/>
    <w:link w:val="8"/>
    <w:semiHidden/>
    <w:unhideWhenUsed/>
    <w:qFormat/>
    <w:uiPriority w:val="99"/>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11</Pages>
  <Words>4783</Words>
  <Characters>5003</Characters>
  <TotalTime>42</TotalTime>
  <ScaleCrop>false</ScaleCrop>
  <LinksUpToDate>false</LinksUpToDate>
  <CharactersWithSpaces>5104</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2026-06-02T00:26:00Z</dcterms:created>
  <dc:creator>Un-named</dc:creator>
  <cp:lastModifiedBy>王晓烽</cp:lastModifiedBy>
  <dcterms:modified xsi:type="dcterms:W3CDTF">2026-06-03T01:12:42Z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eyJoZGlkIjoiZmZlM2NlZGFlZGVlMjgwNDg4NWZiYmYzMzQ2ZGMzNGUiLCJ1c2VySWQiOiI3MDgwOTM3MTMifQ==</vt:lpwstr>
  </property>
  <property fmtid="{D5CDD505-2E9C-101B-9397-08002B2CF9AE}" pid="3" name="KSOProductBuildVer">
    <vt:lpwstr>2052-12.1.0.26375</vt:lpwstr>
  </property>
  <property fmtid="{D5CDD505-2E9C-101B-9397-08002B2CF9AE}" pid="4" name="ICV">
    <vt:lpwstr>C3C82DEDA6BB475989CC441A5865AD77_13</vt:lpwstr>
  </property>
</Properties>
</file>