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1682B">
      <w:pPr>
        <w:tabs>
          <w:tab w:val="left" w:pos="3120"/>
          <w:tab w:val="center" w:pos="4308"/>
        </w:tabs>
        <w:ind w:firstLine="0"/>
        <w:rPr>
          <w:rFonts w:hint="eastAsia" w:asciiTheme="minorEastAsia" w:hAnsiTheme="minorEastAsia" w:eastAsiaTheme="minorEastAsia"/>
          <w:b/>
        </w:rPr>
      </w:pPr>
      <w:r>
        <w:rPr>
          <w:rFonts w:hint="eastAsia" w:asciiTheme="minorEastAsia" w:hAnsiTheme="minorEastAsia" w:eastAsiaTheme="minorEastAsia"/>
          <w:b/>
        </w:rPr>
        <w:t xml:space="preserve"> </w:t>
      </w:r>
      <w:r>
        <w:rPr>
          <w:rFonts w:asciiTheme="minorEastAsia" w:hAnsiTheme="minorEastAsia" w:eastAsiaTheme="minorEastAsia"/>
          <w:b/>
        </w:rPr>
        <w:tab/>
      </w:r>
    </w:p>
    <w:p w14:paraId="105E13D7">
      <w:pPr>
        <w:tabs>
          <w:tab w:val="left" w:pos="3120"/>
          <w:tab w:val="center" w:pos="4308"/>
        </w:tabs>
        <w:ind w:firstLine="0"/>
        <w:rPr>
          <w:rFonts w:hint="eastAsia" w:asciiTheme="minorEastAsia" w:hAnsiTheme="minorEastAsia" w:eastAsiaTheme="minorEastAsia"/>
          <w:b/>
          <w:lang w:eastAsia="zh-CN"/>
        </w:rPr>
      </w:pPr>
    </w:p>
    <w:p w14:paraId="09AEA297">
      <w:pPr>
        <w:tabs>
          <w:tab w:val="left" w:pos="3120"/>
          <w:tab w:val="center" w:pos="4308"/>
        </w:tabs>
        <w:ind w:firstLine="0"/>
        <w:rPr>
          <w:rFonts w:hint="eastAsia" w:asciiTheme="minorEastAsia" w:hAnsiTheme="minorEastAsia" w:eastAsiaTheme="minorEastAsia"/>
          <w:b/>
        </w:rPr>
      </w:pPr>
    </w:p>
    <w:p w14:paraId="7C85144D">
      <w:pPr>
        <w:tabs>
          <w:tab w:val="left" w:pos="3120"/>
          <w:tab w:val="center" w:pos="4308"/>
        </w:tabs>
        <w:ind w:firstLine="0"/>
        <w:rPr>
          <w:rFonts w:hint="eastAsia" w:asciiTheme="minorEastAsia" w:hAnsiTheme="minorEastAsia" w:eastAsiaTheme="minorEastAsia"/>
          <w:b/>
        </w:rPr>
      </w:pPr>
    </w:p>
    <w:p w14:paraId="38F0F593">
      <w:pPr>
        <w:ind w:left="420" w:firstLine="0"/>
        <w:jc w:val="center"/>
        <w:rPr>
          <w:rFonts w:hint="eastAsia" w:asciiTheme="minorEastAsia" w:hAnsiTheme="minorEastAsia" w:eastAsiaTheme="minorEastAsia"/>
          <w:b/>
          <w:sz w:val="44"/>
          <w:szCs w:val="44"/>
          <w:lang w:eastAsia="zh-CN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湖北省</w:t>
      </w:r>
      <w:r>
        <w:rPr>
          <w:rFonts w:hint="eastAsia" w:asciiTheme="minorEastAsia" w:hAnsiTheme="minorEastAsia" w:eastAsiaTheme="minorEastAsia"/>
          <w:b/>
          <w:sz w:val="44"/>
          <w:szCs w:val="44"/>
          <w:lang w:eastAsia="zh-CN"/>
        </w:rPr>
        <w:t>武汉市中级人民法院</w:t>
      </w:r>
    </w:p>
    <w:p w14:paraId="41B6155E">
      <w:pPr>
        <w:ind w:left="420" w:firstLine="0"/>
        <w:jc w:val="center"/>
        <w:rPr>
          <w:rFonts w:hint="eastAsia"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安全设备软件升级售后服务项目采购需求</w:t>
      </w:r>
    </w:p>
    <w:p w14:paraId="27D2F355">
      <w:pPr>
        <w:ind w:left="420" w:firstLine="0"/>
        <w:rPr>
          <w:rFonts w:hint="eastAsia" w:asciiTheme="minorEastAsia" w:hAnsiTheme="minorEastAsia" w:eastAsiaTheme="minorEastAsia"/>
        </w:rPr>
      </w:pPr>
    </w:p>
    <w:p w14:paraId="776B3A58">
      <w:pPr>
        <w:ind w:left="420" w:firstLine="0"/>
        <w:rPr>
          <w:rFonts w:hint="eastAsia" w:asciiTheme="minorEastAsia" w:hAnsiTheme="minorEastAsia" w:eastAsiaTheme="minorEastAsia"/>
        </w:rPr>
      </w:pPr>
    </w:p>
    <w:p w14:paraId="57596382">
      <w:pPr>
        <w:ind w:left="420" w:firstLine="0"/>
        <w:rPr>
          <w:rFonts w:hint="eastAsia" w:asciiTheme="minorEastAsia" w:hAnsiTheme="minorEastAsia" w:eastAsiaTheme="minorEastAsia"/>
        </w:rPr>
      </w:pPr>
    </w:p>
    <w:p w14:paraId="5F837D62">
      <w:pPr>
        <w:ind w:left="420" w:firstLine="0"/>
        <w:rPr>
          <w:rFonts w:hint="eastAsia" w:asciiTheme="minorEastAsia" w:hAnsiTheme="minorEastAsia" w:eastAsiaTheme="minorEastAsia"/>
        </w:rPr>
      </w:pPr>
    </w:p>
    <w:p w14:paraId="66F0F4D3">
      <w:pPr>
        <w:ind w:left="420" w:firstLine="0"/>
        <w:rPr>
          <w:rFonts w:hint="eastAsia" w:asciiTheme="minorEastAsia" w:hAnsiTheme="minorEastAsia" w:eastAsiaTheme="minorEastAsia"/>
        </w:rPr>
      </w:pPr>
    </w:p>
    <w:p w14:paraId="08E69FF6">
      <w:pPr>
        <w:ind w:left="420" w:firstLine="0"/>
        <w:rPr>
          <w:rFonts w:hint="eastAsia" w:asciiTheme="minorEastAsia" w:hAnsiTheme="minorEastAsia" w:eastAsiaTheme="minorEastAsia"/>
        </w:rPr>
      </w:pPr>
    </w:p>
    <w:p w14:paraId="050A8FFB">
      <w:pPr>
        <w:ind w:left="420" w:firstLine="0"/>
        <w:rPr>
          <w:rFonts w:hint="eastAsia" w:asciiTheme="minorEastAsia" w:hAnsiTheme="minorEastAsia" w:eastAsiaTheme="minorEastAsia"/>
        </w:rPr>
      </w:pPr>
    </w:p>
    <w:p w14:paraId="179566A4">
      <w:pPr>
        <w:ind w:left="420" w:firstLine="0"/>
        <w:rPr>
          <w:rFonts w:hint="eastAsia" w:asciiTheme="minorEastAsia" w:hAnsiTheme="minorEastAsia" w:eastAsiaTheme="minorEastAsia"/>
        </w:rPr>
      </w:pPr>
    </w:p>
    <w:p w14:paraId="37C3E81F">
      <w:pPr>
        <w:ind w:left="420" w:firstLine="0"/>
        <w:rPr>
          <w:rFonts w:hint="eastAsia" w:asciiTheme="minorEastAsia" w:hAnsiTheme="minorEastAsia" w:eastAsiaTheme="minorEastAsia"/>
        </w:rPr>
      </w:pPr>
    </w:p>
    <w:p w14:paraId="3AB2B559">
      <w:pPr>
        <w:ind w:left="420" w:firstLine="0"/>
        <w:rPr>
          <w:rFonts w:hint="eastAsia" w:asciiTheme="minorEastAsia" w:hAnsiTheme="minorEastAsia" w:eastAsiaTheme="minorEastAsia"/>
        </w:rPr>
      </w:pPr>
    </w:p>
    <w:p w14:paraId="3619B104">
      <w:pPr>
        <w:ind w:left="420" w:firstLine="0"/>
        <w:rPr>
          <w:rFonts w:hint="eastAsia" w:asciiTheme="minorEastAsia" w:hAnsiTheme="minorEastAsia" w:eastAsiaTheme="minorEastAsia"/>
        </w:rPr>
      </w:pPr>
    </w:p>
    <w:p w14:paraId="672E957E">
      <w:pPr>
        <w:ind w:left="420" w:firstLine="0"/>
        <w:rPr>
          <w:rFonts w:hint="eastAsia" w:asciiTheme="minorEastAsia" w:hAnsiTheme="minorEastAsia" w:eastAsiaTheme="minorEastAsia"/>
        </w:rPr>
      </w:pPr>
    </w:p>
    <w:p w14:paraId="593112AD">
      <w:pPr>
        <w:ind w:left="420" w:firstLine="0"/>
        <w:rPr>
          <w:rFonts w:hint="eastAsia" w:asciiTheme="minorEastAsia" w:hAnsiTheme="minorEastAsia" w:eastAsiaTheme="minorEastAsia"/>
        </w:rPr>
      </w:pPr>
    </w:p>
    <w:p w14:paraId="27B02DF4">
      <w:pPr>
        <w:ind w:left="420" w:firstLine="0"/>
        <w:jc w:val="center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武汉市中级人民法院</w:t>
      </w:r>
    </w:p>
    <w:p w14:paraId="65EE8495">
      <w:pPr>
        <w:ind w:left="420" w:firstLine="0"/>
        <w:jc w:val="center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2025年</w:t>
      </w:r>
      <w:r>
        <w:rPr>
          <w:rFonts w:asciiTheme="minorEastAsia" w:hAnsiTheme="minorEastAsia" w:eastAsiaTheme="minorEastAsia"/>
          <w:sz w:val="32"/>
          <w:szCs w:val="32"/>
        </w:rPr>
        <w:t>1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</w:p>
    <w:p w14:paraId="04EC0C5C">
      <w:pPr>
        <w:ind w:left="420" w:firstLine="0"/>
        <w:rPr>
          <w:rFonts w:hint="eastAsia" w:asciiTheme="minorEastAsia" w:hAnsiTheme="minorEastAsia" w:eastAsiaTheme="minorEastAsia"/>
        </w:rPr>
      </w:pPr>
    </w:p>
    <w:p w14:paraId="300A1141">
      <w:pPr>
        <w:ind w:left="0" w:leftChars="0" w:firstLine="0" w:firstLineChars="0"/>
        <w:rPr>
          <w:rFonts w:hint="eastAsia" w:asciiTheme="minorEastAsia" w:hAnsiTheme="minorEastAsia" w:eastAsiaTheme="minorEastAsia"/>
        </w:rPr>
      </w:pPr>
    </w:p>
    <w:p w14:paraId="69551634">
      <w:pPr>
        <w:ind w:firstLine="0"/>
        <w:rPr>
          <w:rFonts w:hint="eastAsia" w:asciiTheme="minorEastAsia" w:hAnsiTheme="minorEastAsia" w:eastAsiaTheme="minorEastAsia"/>
        </w:rPr>
      </w:pPr>
    </w:p>
    <w:p w14:paraId="60AF0458">
      <w:pPr>
        <w:rPr>
          <w:rFonts w:hint="eastAsia" w:asciiTheme="minorEastAsia" w:hAnsiTheme="minorEastAsia" w:eastAsiaTheme="minorEastAsia"/>
        </w:rPr>
        <w:sectPr>
          <w:headerReference r:id="rId5" w:type="default"/>
          <w:pgSz w:w="11906" w:h="16838"/>
          <w:pgMar w:top="1247" w:right="1588" w:bottom="1701" w:left="1701" w:header="851" w:footer="992" w:gutter="0"/>
          <w:pgNumType w:fmt="upperRoman" w:start="1"/>
          <w:cols w:space="425" w:num="1"/>
          <w:docGrid w:type="linesAndChars" w:linePitch="312" w:charSpace="0"/>
        </w:sectPr>
      </w:pPr>
    </w:p>
    <w:p w14:paraId="27094025">
      <w:pPr>
        <w:pStyle w:val="2"/>
        <w:rPr>
          <w:rFonts w:hint="eastAsia" w:asciiTheme="minorEastAsia" w:hAnsiTheme="minorEastAsia" w:eastAsiaTheme="minorEastAsia"/>
        </w:rPr>
      </w:pPr>
      <w:bookmarkStart w:id="0" w:name="_Toc99456624"/>
      <w:r>
        <w:rPr>
          <w:rFonts w:hint="eastAsia" w:asciiTheme="minorEastAsia" w:hAnsiTheme="minorEastAsia" w:eastAsiaTheme="minorEastAsia"/>
        </w:rPr>
        <w:t>采购名称</w:t>
      </w:r>
      <w:bookmarkEnd w:id="0"/>
    </w:p>
    <w:p w14:paraId="194A481E">
      <w:pPr>
        <w:pStyle w:val="12"/>
        <w:tabs>
          <w:tab w:val="left" w:pos="0"/>
          <w:tab w:val="left" w:pos="284"/>
          <w:tab w:val="left" w:pos="851"/>
        </w:tabs>
        <w:ind w:firstLine="340" w:firstLineChars="142"/>
        <w:rPr>
          <w:rFonts w:hint="eastAsia" w:asciiTheme="minorEastAsia" w:hAnsiTheme="minorEastAsia" w:eastAsiaTheme="minorEastAsia"/>
          <w:color w:val="000000"/>
        </w:rPr>
      </w:pPr>
      <w:r>
        <w:rPr>
          <w:rFonts w:hint="eastAsia" w:asciiTheme="minorEastAsia" w:hAnsiTheme="minorEastAsia" w:eastAsiaTheme="minorEastAsia"/>
          <w:color w:val="000000"/>
        </w:rPr>
        <w:t>项目名称：</w:t>
      </w:r>
      <w:r>
        <w:rPr>
          <w:rFonts w:hint="eastAsia" w:asciiTheme="minorEastAsia" w:hAnsiTheme="minorEastAsia" w:eastAsiaTheme="minorEastAsia"/>
          <w:color w:val="000000"/>
          <w:lang w:eastAsia="zh-CN"/>
        </w:rPr>
        <w:t>湖北省武汉市中级人民法院安全设备软件升级售后服务项目</w:t>
      </w:r>
      <w:r>
        <w:rPr>
          <w:rFonts w:hint="eastAsia" w:asciiTheme="minorEastAsia" w:hAnsiTheme="minorEastAsia" w:eastAsiaTheme="minorEastAsia"/>
          <w:color w:val="000000"/>
        </w:rPr>
        <w:t>。</w:t>
      </w:r>
    </w:p>
    <w:p w14:paraId="50633F8C">
      <w:bookmarkStart w:id="9" w:name="_GoBack"/>
    </w:p>
    <w:p w14:paraId="1F8DE867">
      <w:pPr>
        <w:pStyle w:val="2"/>
        <w:rPr>
          <w:rFonts w:hint="eastAsia" w:asciiTheme="minorEastAsia" w:hAnsiTheme="minorEastAsia" w:eastAsiaTheme="minorEastAsia"/>
        </w:rPr>
      </w:pPr>
      <w:bookmarkStart w:id="1" w:name="_Toc99456625"/>
      <w:r>
        <w:rPr>
          <w:rFonts w:hint="eastAsia" w:asciiTheme="minorEastAsia" w:hAnsiTheme="minorEastAsia" w:eastAsiaTheme="minorEastAsia"/>
        </w:rPr>
        <w:t>采购预算</w:t>
      </w:r>
      <w:bookmarkEnd w:id="1"/>
    </w:p>
    <w:p w14:paraId="6F29B8FB">
      <w:pPr>
        <w:pStyle w:val="12"/>
        <w:tabs>
          <w:tab w:val="left" w:pos="0"/>
          <w:tab w:val="left" w:pos="284"/>
          <w:tab w:val="left" w:pos="851"/>
        </w:tabs>
        <w:ind w:firstLine="340" w:firstLineChars="142"/>
        <w:rPr>
          <w:rFonts w:hint="eastAsia" w:asciiTheme="minorEastAsia" w:hAnsiTheme="minorEastAsia" w:eastAsiaTheme="minorEastAsia"/>
          <w:b/>
          <w:highlight w:val="none"/>
        </w:rPr>
      </w:pPr>
      <w:r>
        <w:rPr>
          <w:rFonts w:hint="eastAsia" w:asciiTheme="minorEastAsia" w:hAnsiTheme="minorEastAsia" w:eastAsiaTheme="minorEastAsia"/>
          <w:color w:val="000000"/>
          <w:highlight w:val="none"/>
        </w:rPr>
        <w:t>采购预算为人民币</w:t>
      </w:r>
      <w:r>
        <w:rPr>
          <w:rFonts w:hint="eastAsia" w:asciiTheme="minorEastAsia" w:hAnsiTheme="minorEastAsia" w:eastAsiaTheme="minorEastAsia"/>
          <w:color w:val="000000"/>
          <w:highlight w:val="none"/>
          <w:lang w:val="en-US" w:eastAsia="zh-CN"/>
        </w:rPr>
        <w:t>15.3</w:t>
      </w:r>
      <w:r>
        <w:rPr>
          <w:rFonts w:hint="eastAsia" w:asciiTheme="minorEastAsia" w:hAnsiTheme="minorEastAsia" w:eastAsiaTheme="minorEastAsia"/>
          <w:color w:val="000000"/>
          <w:highlight w:val="none"/>
        </w:rPr>
        <w:t>万元；供应商报价超采购预算均为无效报价。</w:t>
      </w:r>
    </w:p>
    <w:p w14:paraId="4363F782"/>
    <w:p w14:paraId="197608CF">
      <w:pPr>
        <w:pStyle w:val="2"/>
        <w:rPr>
          <w:rFonts w:hint="eastAsia" w:asciiTheme="minorEastAsia" w:hAnsiTheme="minorEastAsia" w:eastAsiaTheme="minorEastAsia"/>
        </w:rPr>
      </w:pPr>
      <w:bookmarkStart w:id="2" w:name="_Toc99456626"/>
      <w:r>
        <w:rPr>
          <w:rFonts w:hint="eastAsia" w:asciiTheme="minorEastAsia" w:hAnsiTheme="minorEastAsia" w:eastAsiaTheme="minorEastAsia"/>
        </w:rPr>
        <w:t>采购需求</w:t>
      </w:r>
      <w:bookmarkEnd w:id="2"/>
    </w:p>
    <w:p w14:paraId="3C6C5DC9">
      <w:pPr>
        <w:pStyle w:val="4"/>
      </w:pPr>
      <w:bookmarkStart w:id="3" w:name="_Toc99456627"/>
      <w:r>
        <w:rPr>
          <w:rFonts w:hint="eastAsia"/>
        </w:rPr>
        <w:t>服务目标</w:t>
      </w:r>
      <w:bookmarkEnd w:id="3"/>
    </w:p>
    <w:p w14:paraId="5BBA8C58">
      <w:pPr>
        <w:ind w:firstLine="480" w:firstLineChars="200"/>
        <w:rPr>
          <w:rFonts w:hint="eastAsia"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确保武汉中院 850 套国产化终端安全设备的威胁检测、防护、识别能力持续有效，通过续购 3 年期授权及配套技术服务，稳定提升武汉中院终端网络安全防护水平，保障终端设备安全运行。</w:t>
      </w:r>
    </w:p>
    <w:p w14:paraId="5D47ACFF">
      <w:pPr>
        <w:rPr>
          <w:rFonts w:hint="eastAsia" w:asciiTheme="minorEastAsia" w:hAnsiTheme="minorEastAsia" w:eastAsiaTheme="minorEastAsia"/>
          <w:bCs/>
        </w:rPr>
      </w:pPr>
    </w:p>
    <w:p w14:paraId="6F498455">
      <w:pPr>
        <w:pStyle w:val="4"/>
      </w:pPr>
      <w:bookmarkStart w:id="4" w:name="_Toc99456628"/>
      <w:r>
        <w:rPr>
          <w:rFonts w:hint="eastAsia"/>
          <w:lang w:val="en-US" w:eastAsia="zh-CN"/>
        </w:rPr>
        <w:t>采购内容</w:t>
      </w:r>
      <w:r>
        <w:rPr>
          <w:rFonts w:hint="eastAsia"/>
        </w:rPr>
        <w:t>清单</w:t>
      </w:r>
      <w:bookmarkEnd w:id="4"/>
    </w:p>
    <w:tbl>
      <w:tblPr>
        <w:tblStyle w:val="18"/>
        <w:tblW w:w="832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4570"/>
        <w:gridCol w:w="1524"/>
        <w:gridCol w:w="1246"/>
      </w:tblGrid>
      <w:tr w14:paraId="7A1D7F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619E1597">
            <w:pPr>
              <w:ind w:right="-55" w:rightChars="-23" w:firstLine="0"/>
              <w:jc w:val="center"/>
              <w:rPr>
                <w:rFonts w:hint="eastAsia" w:asciiTheme="minorEastAsia" w:hAnsiTheme="minorEastAsia" w:eastAsiaTheme="minorEastAsia"/>
                <w:b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szCs w:val="24"/>
              </w:rPr>
              <w:t>序号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1C3454DF">
            <w:pPr>
              <w:ind w:firstLine="0"/>
              <w:jc w:val="center"/>
              <w:rPr>
                <w:rFonts w:hint="eastAsia" w:asciiTheme="minorEastAsia" w:hAnsiTheme="minorEastAsia" w:eastAsiaTheme="minorEastAsia"/>
                <w:b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szCs w:val="24"/>
              </w:rPr>
              <w:t>名称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5CEB522B">
            <w:pPr>
              <w:ind w:firstLine="0"/>
              <w:jc w:val="center"/>
              <w:rPr>
                <w:rFonts w:hint="eastAsia" w:asciiTheme="minorEastAsia" w:hAnsiTheme="minorEastAsia" w:eastAsiaTheme="minorEastAsia"/>
                <w:b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szCs w:val="24"/>
              </w:rPr>
              <w:t>数量</w:t>
            </w:r>
          </w:p>
        </w:tc>
        <w:tc>
          <w:tcPr>
            <w:tcW w:w="12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504E6E96">
            <w:pPr>
              <w:ind w:firstLine="0"/>
              <w:jc w:val="center"/>
              <w:rPr>
                <w:rFonts w:hint="eastAsia" w:asciiTheme="minorEastAsia" w:hAnsiTheme="minorEastAsia" w:eastAsiaTheme="minorEastAsia"/>
                <w:b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szCs w:val="24"/>
              </w:rPr>
              <w:t>单位</w:t>
            </w:r>
          </w:p>
        </w:tc>
      </w:tr>
      <w:tr w14:paraId="70787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CD5BB">
            <w:pPr>
              <w:pStyle w:val="35"/>
              <w:numPr>
                <w:ilvl w:val="0"/>
                <w:numId w:val="3"/>
              </w:numPr>
              <w:tabs>
                <w:tab w:val="left" w:pos="33"/>
              </w:tabs>
              <w:ind w:left="-93" w:right="-55" w:rightChars="-23" w:hanging="3" w:firstLineChars="0"/>
              <w:jc w:val="center"/>
              <w:rPr>
                <w:rFonts w:hint="eastAsia"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CE15CD">
            <w:pPr>
              <w:ind w:right="-55" w:rightChars="-23" w:firstLine="0"/>
              <w:rPr>
                <w:rFonts w:hint="eastAsia"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Cs w:val="24"/>
              </w:rPr>
              <w:t>终端安全续保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5CA35D">
            <w:pPr>
              <w:ind w:right="-55" w:rightChars="-23" w:firstLine="0"/>
              <w:jc w:val="center"/>
              <w:rPr>
                <w:rFonts w:hint="default" w:asciiTheme="minorEastAsia" w:hAnsiTheme="minorEastAsia" w:eastAsiaTheme="minorEastAsia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4"/>
                <w:lang w:val="en-US" w:eastAsia="zh-CN"/>
              </w:rPr>
              <w:t>850</w:t>
            </w:r>
          </w:p>
        </w:tc>
        <w:tc>
          <w:tcPr>
            <w:tcW w:w="12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5CCC9E">
            <w:pPr>
              <w:ind w:right="-55" w:rightChars="-23" w:firstLine="0"/>
              <w:jc w:val="center"/>
              <w:rPr>
                <w:rFonts w:hint="eastAsia" w:asciiTheme="minorEastAsia" w:hAnsiTheme="minorEastAsia" w:eastAsiaTheme="minorEastAsia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24"/>
                <w:lang w:val="en-US" w:eastAsia="zh-CN"/>
              </w:rPr>
              <w:t>套</w:t>
            </w:r>
          </w:p>
        </w:tc>
      </w:tr>
    </w:tbl>
    <w:p w14:paraId="761CA52D"/>
    <w:p w14:paraId="552F3970">
      <w:pPr>
        <w:pStyle w:val="4"/>
      </w:pPr>
      <w:bookmarkStart w:id="5" w:name="_Toc99456629"/>
      <w:r>
        <w:rPr>
          <w:rFonts w:hint="eastAsia"/>
          <w:lang w:val="en-US" w:eastAsia="zh-CN"/>
        </w:rPr>
        <w:t>技术</w:t>
      </w:r>
      <w:bookmarkEnd w:id="5"/>
      <w:r>
        <w:rPr>
          <w:rFonts w:hint="eastAsia"/>
          <w:lang w:val="en-US" w:eastAsia="zh-CN"/>
        </w:rPr>
        <w:t>保障要求</w:t>
      </w:r>
    </w:p>
    <w:p w14:paraId="22361D82">
      <w:pPr>
        <w:rPr>
          <w:rFonts w:hint="eastAsia"/>
        </w:rPr>
      </w:pPr>
      <w:r>
        <w:rPr>
          <w:rFonts w:hint="eastAsia"/>
        </w:rPr>
        <w:t>为确保 3 年期续保授权的有效性及设备功能正常，投标人需提供 7*24 小时授权保障与热线技术支持服务：</w:t>
      </w:r>
    </w:p>
    <w:p w14:paraId="5979EFD9">
      <w:pPr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授权失效应急处理：若出现授权意外失效（如授权激活失败、到期未衔接），投标人需在 30 分钟内响应，2 小时内提供临时授权或激活解决方案，确保设备防护功能不中断；</w:t>
      </w:r>
    </w:p>
    <w:p w14:paraId="3254F705">
      <w:pPr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设备故障关联保障：因续保设备本身故障（如硬件损坏、防护功能异常）需现场处理的，投标人应携带原厂备件赶赴现场更换，24 小时内排除故障；若故障无法 24 小时解决，72 小时内提供同型号替换设备（含有效授权）；</w:t>
      </w:r>
    </w:p>
    <w:p w14:paraId="24B1BF3C">
      <w:pPr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重大安全事件响应：遇终端安全重大威胁（如病毒爆发、恶意攻击），需组建专项团队提供现场技术支援，配合采购人完成威胁处置与防护加固。</w:t>
      </w:r>
    </w:p>
    <w:p w14:paraId="21D26849">
      <w:pPr>
        <w:pStyle w:val="4"/>
      </w:pPr>
      <w:bookmarkStart w:id="6" w:name="_Toc99456642"/>
      <w:r>
        <w:rPr>
          <w:rFonts w:hint="eastAsia"/>
        </w:rPr>
        <w:t>服务期限</w:t>
      </w:r>
      <w:bookmarkEnd w:id="6"/>
    </w:p>
    <w:p w14:paraId="0019CFC8">
      <w:pPr>
        <w:rPr>
          <w:rFonts w:hint="eastAsia" w:asciiTheme="minorEastAsia" w:hAnsiTheme="minorEastAsia"/>
          <w:szCs w:val="24"/>
        </w:rPr>
      </w:pPr>
      <w:r>
        <w:rPr>
          <w:rFonts w:hint="eastAsia" w:asciiTheme="minorEastAsia" w:hAnsiTheme="minorEastAsia"/>
          <w:szCs w:val="24"/>
        </w:rPr>
        <w:t>服务期为</w:t>
      </w:r>
      <w:r>
        <w:rPr>
          <w:rFonts w:hint="eastAsia" w:asciiTheme="minorEastAsia" w:hAnsiTheme="minorEastAsia"/>
          <w:szCs w:val="24"/>
          <w:lang w:val="en-US" w:eastAsia="zh-CN"/>
        </w:rPr>
        <w:t>三</w:t>
      </w:r>
      <w:r>
        <w:rPr>
          <w:rFonts w:hint="eastAsia" w:asciiTheme="minorEastAsia" w:hAnsiTheme="minorEastAsia"/>
          <w:szCs w:val="24"/>
        </w:rPr>
        <w:t>年。2026年1月1日-202</w:t>
      </w:r>
      <w:r>
        <w:rPr>
          <w:rFonts w:hint="eastAsia" w:asciiTheme="minorEastAsia" w:hAnsiTheme="minorEastAsia"/>
          <w:szCs w:val="24"/>
          <w:lang w:val="en-US" w:eastAsia="zh-CN"/>
        </w:rPr>
        <w:t>8</w:t>
      </w:r>
      <w:r>
        <w:rPr>
          <w:rFonts w:hint="eastAsia" w:asciiTheme="minorEastAsia" w:hAnsiTheme="minorEastAsia"/>
          <w:szCs w:val="24"/>
        </w:rPr>
        <w:t>年12月31日。</w:t>
      </w:r>
    </w:p>
    <w:p w14:paraId="406FC03A">
      <w:pPr>
        <w:pStyle w:val="4"/>
      </w:pPr>
      <w:bookmarkStart w:id="7" w:name="_Toc99456643"/>
      <w:r>
        <w:rPr>
          <w:rFonts w:hint="eastAsia"/>
          <w:lang w:val="en-US" w:eastAsia="zh-CN"/>
        </w:rPr>
        <w:t>服务保障</w:t>
      </w:r>
      <w:r>
        <w:rPr>
          <w:rFonts w:hint="eastAsia"/>
        </w:rPr>
        <w:t>清单</w:t>
      </w:r>
      <w:bookmarkEnd w:id="7"/>
    </w:p>
    <w:tbl>
      <w:tblPr>
        <w:tblStyle w:val="18"/>
        <w:tblW w:w="8647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2552"/>
        <w:gridCol w:w="1276"/>
        <w:gridCol w:w="2834"/>
      </w:tblGrid>
      <w:tr w14:paraId="60A558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tblHeader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4FA6A7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  <w:t>序号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2604A0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设备名称</w:t>
            </w: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  <w:t>项目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C1F39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  <w:t>设备类型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0C30F4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  <w:t>数量</w:t>
            </w:r>
          </w:p>
        </w:tc>
        <w:tc>
          <w:tcPr>
            <w:tcW w:w="2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2EAA97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服务类型</w:t>
            </w:r>
          </w:p>
        </w:tc>
      </w:tr>
      <w:tr w14:paraId="76FBC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tblHeader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F7A45E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1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C8665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终端安全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D7E2F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国产化终端安全防护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BB842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850</w:t>
            </w:r>
          </w:p>
        </w:tc>
        <w:tc>
          <w:tcPr>
            <w:tcW w:w="2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889E4">
            <w:pPr>
              <w:spacing w:line="320" w:lineRule="exact"/>
              <w:ind w:firstLine="0"/>
              <w:jc w:val="center"/>
              <w:textAlignment w:val="center"/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</w:pPr>
            <w:r>
              <w:rPr>
                <w:rFonts w:hint="eastAsia" w:cs="仿宋" w:asciiTheme="minorEastAsia" w:hAnsiTheme="minorEastAsia" w:eastAsiaTheme="minorEastAsia"/>
                <w:color w:val="000000"/>
                <w:kern w:val="0"/>
                <w:szCs w:val="24"/>
                <w:lang w:val="en-US" w:eastAsia="zh-CN" w:bidi="ar"/>
              </w:rPr>
              <w:t>三年国产化终端安全续保</w:t>
            </w:r>
          </w:p>
        </w:tc>
      </w:tr>
    </w:tbl>
    <w:p w14:paraId="07310CAF">
      <w:pPr>
        <w:ind w:firstLine="0"/>
      </w:pPr>
    </w:p>
    <w:p w14:paraId="12401096">
      <w:pPr>
        <w:pStyle w:val="4"/>
      </w:pPr>
      <w:bookmarkStart w:id="8" w:name="_Toc99456644"/>
      <w:r>
        <w:rPr>
          <w:rFonts w:hint="eastAsia"/>
          <w:lang w:val="en-US" w:eastAsia="zh-CN"/>
        </w:rPr>
        <w:t>产品续保</w:t>
      </w:r>
      <w:r>
        <w:rPr>
          <w:rFonts w:hint="eastAsia"/>
        </w:rPr>
        <w:t>服务要求</w:t>
      </w:r>
      <w:bookmarkEnd w:id="8"/>
    </w:p>
    <w:p w14:paraId="785398B0">
      <w:pPr>
        <w:rPr>
          <w:rFonts w:hint="eastAsia"/>
        </w:rPr>
      </w:pPr>
      <w:r>
        <w:rPr>
          <w:rFonts w:hint="eastAsia"/>
        </w:rPr>
        <w:t>1. 授权全周期管理</w:t>
      </w:r>
    </w:p>
    <w:p w14:paraId="156A136E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提前预警：每年度授权到期前 30 天，向采购人提交《授权到期预警报告》，明确到期时间、续激活流程及所需材料，避免断保；</w:t>
      </w:r>
    </w:p>
    <w:p w14:paraId="332BCAC3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无缝衔接：新年度授权需在旧授权到期前完成交付、激活，确保 850 套设备授权 “零中断”；</w:t>
      </w:r>
    </w:p>
    <w:p w14:paraId="3389A053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授权合规：提供的终端安全授权须为原厂正版，符合国产化终端安全防护标准，可通过原厂系统验证授权有效性。</w:t>
      </w:r>
    </w:p>
    <w:p w14:paraId="6EEB8747">
      <w:pPr>
        <w:rPr>
          <w:rFonts w:hint="eastAsia"/>
        </w:rPr>
      </w:pPr>
      <w:r>
        <w:rPr>
          <w:rFonts w:hint="eastAsia"/>
        </w:rPr>
        <w:t>2. 响应与问题处置</w:t>
      </w:r>
    </w:p>
    <w:p w14:paraId="42B14042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热线响应：服务电话振铃 3 次内接听，耐心解答授权激活、功能配置等问题，做好记录并同步至《续保服务台账》；</w:t>
      </w:r>
    </w:p>
    <w:p w14:paraId="75366177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故障处置时限：</w:t>
      </w:r>
    </w:p>
    <w:p w14:paraId="68F53CEC">
      <w:pPr>
        <w:rPr>
          <w:rFonts w:hint="eastAsia"/>
        </w:rPr>
      </w:pPr>
      <w:r>
        <w:rPr>
          <w:rFonts w:hint="eastAsia"/>
        </w:rPr>
        <w:t>授权类问题（激活失败、授权查询异常）：2 小时内解决；</w:t>
      </w:r>
    </w:p>
    <w:p w14:paraId="55D21216">
      <w:pPr>
        <w:rPr>
          <w:rFonts w:hint="eastAsia"/>
        </w:rPr>
      </w:pPr>
      <w:r>
        <w:rPr>
          <w:rFonts w:hint="eastAsia"/>
        </w:rPr>
        <w:t>设备关联故障（硬件损坏、防护功能失效）：4 小时内到场处理，24 小时内排除</w:t>
      </w:r>
      <w:r>
        <w:rPr>
          <w:rFonts w:hint="eastAsia" w:ascii="Times New Roman" w:hAnsi="Times New Roman" w:eastAsia="宋体" w:cs="宋体"/>
        </w:rPr>
        <w:t>；</w:t>
      </w:r>
      <w:r>
        <w:rPr>
          <w:rFonts w:hint="eastAsia" w:ascii="Times New Roman" w:hAnsi="Times New Roman" w:eastAsia="宋体" w:cs="宋体"/>
          <w:lang w:eastAsia="zh-CN"/>
        </w:rPr>
        <w:t>如果故障不能在24小时内排除，</w:t>
      </w:r>
      <w:r>
        <w:rPr>
          <w:rFonts w:hint="eastAsia" w:ascii="Times New Roman" w:hAnsi="Times New Roman" w:eastAsia="宋体" w:cs="宋体"/>
        </w:rPr>
        <w:t>72小时内提</w:t>
      </w:r>
      <w:r>
        <w:rPr>
          <w:rFonts w:hint="eastAsia"/>
        </w:rPr>
        <w:t>供替换备用设备（含有效授权）。</w:t>
      </w:r>
    </w:p>
    <w:p w14:paraId="3A908E01">
      <w:pPr>
        <w:rPr>
          <w:rFonts w:hint="eastAsia"/>
        </w:rPr>
      </w:pPr>
      <w:r>
        <w:rPr>
          <w:rFonts w:hint="eastAsia"/>
        </w:rPr>
        <w:t>3. 服务规范与档案管理</w:t>
      </w:r>
    </w:p>
    <w:p w14:paraId="59A277F4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人员规范：续保服务人员上门时需亮明身份，设备搬运轻拿轻放，减少对采购人工作的影响，无因态度 / 责任心引发的投诉；</w:t>
      </w:r>
    </w:p>
    <w:p w14:paraId="73521037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档案管理：建立《终端安全设备续保档案》，包含设备编号、授权有效期、服务记录等信息，每次服务后需提交工单由采购人签字确认，档案可随时查询、追溯；</w:t>
      </w:r>
    </w:p>
    <w:p w14:paraId="36683A81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质量监督：公开多渠道投诉方式（电话、邮箱），投诉受理后 24 小时内反馈处理进展，服务完成后需配合采购人开展满意度评价。</w:t>
      </w:r>
    </w:p>
    <w:p w14:paraId="010D3FB3">
      <w:pPr>
        <w:rPr>
          <w:rFonts w:hint="eastAsia"/>
        </w:rPr>
      </w:pPr>
      <w:r>
        <w:rPr>
          <w:rFonts w:hint="eastAsia"/>
        </w:rPr>
        <w:t>4. 保密与合规要求</w:t>
      </w:r>
    </w:p>
    <w:p w14:paraId="22CBE867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签订《保密协议》，对授权密钥、设备清单、采购人涉密信息严格保密，不得泄露给第三方；</w:t>
      </w:r>
    </w:p>
    <w:p w14:paraId="058FC887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服务过程中接触的授权文档、技术资料需妥善保管，服务结束后按要求交还或销毁；</w:t>
      </w:r>
    </w:p>
    <w:p w14:paraId="697D16FF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若因人员失误 / 故意行为导致信息泄露，需承担相应法律责任，并赔偿由此造成的损失。</w:t>
      </w:r>
    </w:p>
    <w:p w14:paraId="6CD79D5C">
      <w:pPr>
        <w:rPr>
          <w:rFonts w:hint="eastAsia"/>
        </w:rPr>
      </w:pPr>
      <w:r>
        <w:rPr>
          <w:rFonts w:hint="eastAsia"/>
        </w:rPr>
        <w:t>5. 服务团队与人员稳定性</w:t>
      </w:r>
    </w:p>
    <w:p w14:paraId="484650E9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/>
        </w:rPr>
        <w:t>配备专属续保技术支持团队，团队成员需熟悉该型号终端安全设备授权管理流程，具备原厂认证资质；</w:t>
      </w:r>
    </w:p>
    <w:p w14:paraId="5669A4B6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Theme="minorEastAsia" w:hAnsiTheme="minorEastAsia" w:eastAsiaTheme="minorEastAsia"/>
          <w:color w:val="000000"/>
          <w:lang w:eastAsia="zh-CN"/>
        </w:rPr>
      </w:pPr>
      <w:r>
        <w:rPr>
          <w:rFonts w:hint="eastAsia"/>
        </w:rPr>
        <w:t>团队人员变动需提前 1 个月向采购人提交申请，经采购人同意后方可更换；若人员无法胜任工作，需在 5 个工作日内更换合格人员。</w:t>
      </w:r>
    </w:p>
    <w:p w14:paraId="2489729D">
      <w:pPr>
        <w:pStyle w:val="4"/>
      </w:pPr>
      <w:r>
        <w:rPr>
          <w:rFonts w:hint="eastAsia"/>
        </w:rPr>
        <w:t>商务要求</w:t>
      </w:r>
    </w:p>
    <w:p w14:paraId="36A1DFCC">
      <w:pPr>
        <w:rPr>
          <w:rFonts w:hint="eastAsia"/>
        </w:rPr>
      </w:pPr>
      <w:r>
        <w:rPr>
          <w:rFonts w:hint="eastAsia"/>
        </w:rPr>
        <w:t>1.服务期：自合同签订日起3年。乙方在服务期内的工作包含但不限于日常维护等内容。</w:t>
      </w:r>
    </w:p>
    <w:p w14:paraId="77791878">
      <w:pPr>
        <w:rPr>
          <w:rFonts w:hint="eastAsia"/>
        </w:rPr>
      </w:pPr>
      <w:r>
        <w:rPr>
          <w:rFonts w:hint="eastAsia"/>
        </w:rPr>
        <w:t>2.系统升级：服务期内乙方应当对提供的系统进行最新升级服务。</w:t>
      </w:r>
    </w:p>
    <w:p w14:paraId="1064EEB9"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.付款与授权交付挂钩</w:t>
      </w:r>
    </w:p>
    <w:p w14:paraId="3793D863">
      <w:pPr>
        <w:rPr>
          <w:rFonts w:hint="eastAsia"/>
        </w:rPr>
      </w:pPr>
      <w:r>
        <w:rPr>
          <w:rFonts w:hint="eastAsia"/>
        </w:rPr>
        <w:t>付款方式：</w:t>
      </w:r>
      <w:r>
        <w:rPr>
          <w:rFonts w:hint="eastAsia"/>
          <w:lang w:val="en-US" w:eastAsia="zh-CN"/>
        </w:rPr>
        <w:t>一次性支付100%，</w:t>
      </w:r>
      <w:r>
        <w:rPr>
          <w:rFonts w:hint="eastAsia"/>
        </w:rPr>
        <w:t>（需提供</w:t>
      </w:r>
      <w:r>
        <w:rPr>
          <w:rFonts w:hint="eastAsia"/>
          <w:lang w:val="en-US" w:eastAsia="zh-CN"/>
        </w:rPr>
        <w:t>完工报告和发票</w:t>
      </w:r>
      <w:r>
        <w:rPr>
          <w:rFonts w:hint="eastAsia"/>
        </w:rPr>
        <w:t>）；</w:t>
      </w:r>
    </w:p>
    <w:p w14:paraId="3E95B067">
      <w:pPr>
        <w:rPr>
          <w:rFonts w:hint="eastAsia"/>
        </w:rPr>
      </w:pPr>
      <w:r>
        <w:rPr>
          <w:rFonts w:hint="eastAsia"/>
        </w:rPr>
        <w:t>发票要求：投标人需按国家财税规定开具增值税</w:t>
      </w:r>
      <w:r>
        <w:rPr>
          <w:rFonts w:hint="eastAsia"/>
          <w:lang w:val="en-US" w:eastAsia="zh-CN"/>
        </w:rPr>
        <w:t>正规发票</w:t>
      </w:r>
      <w:r>
        <w:rPr>
          <w:rFonts w:hint="eastAsia"/>
        </w:rPr>
        <w:t>，采购人自收到发票及对应证明材料后 10 个工作日内完成付款。</w:t>
      </w:r>
    </w:p>
    <w:p w14:paraId="5F4AA811"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.授权保障责任</w:t>
      </w:r>
    </w:p>
    <w:p w14:paraId="4E72A50E">
      <w:pPr>
        <w:rPr>
          <w:rFonts w:hint="eastAsia"/>
        </w:rPr>
      </w:pPr>
      <w:r>
        <w:rPr>
          <w:rFonts w:hint="eastAsia"/>
        </w:rPr>
        <w:t>投标人需确保所提供的授权合法有效，若因授权为非原厂正版、过期等问题导致设备无法使用，投标人需双倍赔偿采购人已支付款项，并在 3 个工作日内更换合格授权；</w:t>
      </w:r>
    </w:p>
    <w:p w14:paraId="37E5EF71">
      <w:pPr>
        <w:rPr>
          <w:rFonts w:hint="eastAsia"/>
        </w:rPr>
      </w:pPr>
      <w:r>
        <w:rPr>
          <w:rFonts w:hint="eastAsia"/>
        </w:rPr>
        <w:t>因投标人未按时交付授权导致断保的，需支付违约金，同时承担断保期间的终端安全风险责任。</w:t>
      </w:r>
    </w:p>
    <w:p w14:paraId="7DFF917F">
      <w:pPr>
        <w:rPr>
          <w:rFonts w:hint="eastAsia"/>
        </w:rPr>
      </w:pPr>
      <w:r>
        <w:rPr>
          <w:rFonts w:hint="eastAsia"/>
          <w:lang w:val="en-US" w:eastAsia="zh-CN"/>
        </w:rPr>
        <w:t>5</w:t>
      </w:r>
      <w:r>
        <w:rPr>
          <w:rFonts w:hint="eastAsia"/>
        </w:rPr>
        <w:t>.团队保障要求</w:t>
      </w:r>
    </w:p>
    <w:p w14:paraId="5EF5A1C3">
      <w:pPr>
        <w:rPr>
          <w:rFonts w:hint="eastAsia"/>
        </w:rPr>
      </w:pPr>
      <w:r>
        <w:rPr>
          <w:rFonts w:hint="eastAsia"/>
        </w:rPr>
        <w:t>专属技术支持团队需提供 7*24 小时联系方式，确保采购人可随时对接授权及设备问题；</w:t>
      </w:r>
    </w:p>
    <w:p w14:paraId="61A16A85">
      <w:pPr>
        <w:rPr>
          <w:rFonts w:hint="eastAsia"/>
        </w:rPr>
      </w:pPr>
      <w:r>
        <w:rPr>
          <w:rFonts w:hint="eastAsia"/>
        </w:rPr>
        <w:t>每季度向采购人提交《续保服务报告》，包含授权有效期统计、问题处置台账、下季度授权预警等内容，接受采购人监督。</w:t>
      </w:r>
    </w:p>
    <w:p w14:paraId="3C6CC4FB">
      <w:pPr>
        <w:adjustRightInd w:val="0"/>
        <w:snapToGrid w:val="0"/>
        <w:spacing w:line="460" w:lineRule="exact"/>
        <w:rPr>
          <w:rFonts w:hint="eastAsia" w:ascii="宋体" w:hAnsi="宋体" w:cs="仿宋_GB2312"/>
          <w:lang w:eastAsia="zh-CN"/>
        </w:rPr>
      </w:pPr>
      <w:r>
        <w:rPr>
          <w:rFonts w:hint="eastAsia" w:ascii="宋体" w:hAnsi="宋体" w:cs="仿宋_GB2312"/>
          <w:lang w:val="en-US" w:eastAsia="zh-CN"/>
        </w:rPr>
        <w:t>6</w:t>
      </w:r>
      <w:r>
        <w:rPr>
          <w:rFonts w:hint="eastAsia" w:ascii="宋体" w:hAnsi="宋体" w:cs="仿宋_GB2312"/>
        </w:rPr>
        <w:t>.乙方违反法院网络安全管理规定，导致产生违规外联或信息泄露等网络安全事故的，乙方应承担违规责任，甲方有权采取相应处罚措施，并在支付款项时</w:t>
      </w:r>
      <w:r>
        <w:rPr>
          <w:rFonts w:hint="eastAsia" w:ascii="宋体" w:hAnsi="宋体" w:cs="仿宋_GB2312"/>
          <w:lang w:eastAsia="zh-CN"/>
        </w:rPr>
        <w:t>扣减合同</w:t>
      </w:r>
      <w:r>
        <w:rPr>
          <w:rFonts w:hint="eastAsia" w:ascii="宋体" w:hAnsi="宋体" w:cs="仿宋_GB2312"/>
        </w:rPr>
        <w:t>总价的5%</w:t>
      </w:r>
      <w:r>
        <w:rPr>
          <w:rFonts w:hint="eastAsia" w:ascii="宋体" w:hAnsi="宋体" w:cs="仿宋_GB2312"/>
          <w:lang w:eastAsia="zh-CN"/>
        </w:rPr>
        <w:t>。</w:t>
      </w:r>
    </w:p>
    <w:p w14:paraId="08D37E76">
      <w:pPr>
        <w:adjustRightInd w:val="0"/>
        <w:snapToGrid w:val="0"/>
        <w:spacing w:line="460" w:lineRule="exact"/>
        <w:rPr>
          <w:rFonts w:hint="eastAsia" w:ascii="宋体" w:hAnsi="宋体" w:cs="仿宋_GB2312"/>
        </w:rPr>
      </w:pPr>
      <w:r>
        <w:rPr>
          <w:rFonts w:hint="eastAsia" w:ascii="宋体" w:hAnsi="宋体" w:cs="仿宋_GB2312"/>
          <w:lang w:val="en-US" w:eastAsia="zh-CN"/>
        </w:rPr>
        <w:t>7</w:t>
      </w:r>
      <w:r>
        <w:rPr>
          <w:rFonts w:hint="eastAsia" w:ascii="宋体" w:hAnsi="宋体" w:cs="仿宋_GB2312"/>
        </w:rPr>
        <w:t>.乙方应遵守法院网络安全管理规定，加强对运维人员使用网络设备的监管，禁止将专网运维计算机连接万联网及其他非法院网络。</w:t>
      </w:r>
    </w:p>
    <w:p w14:paraId="1CE6ACBD">
      <w:pPr>
        <w:adjustRightInd w:val="0"/>
        <w:snapToGrid w:val="0"/>
        <w:spacing w:line="460" w:lineRule="exact"/>
        <w:rPr>
          <w:rFonts w:hint="eastAsia" w:ascii="宋体" w:hAnsi="宋体" w:cs="仿宋_GB2312"/>
        </w:rPr>
      </w:pPr>
      <w:r>
        <w:rPr>
          <w:rFonts w:hint="eastAsia" w:ascii="宋体" w:hAnsi="宋体" w:cs="仿宋_GB2312"/>
          <w:lang w:val="en-US" w:eastAsia="zh-CN"/>
        </w:rPr>
        <w:t>8</w:t>
      </w:r>
      <w:r>
        <w:rPr>
          <w:rFonts w:hint="eastAsia" w:ascii="宋体" w:hAnsi="宋体" w:cs="仿宋_GB2312"/>
        </w:rPr>
        <w:t>.乙方应当根据上级法院</w:t>
      </w:r>
      <w:r>
        <w:rPr>
          <w:rFonts w:hint="eastAsia" w:ascii="宋体" w:hAnsi="宋体" w:cs="仿宋_GB2312"/>
          <w:lang w:eastAsia="zh-CN"/>
        </w:rPr>
        <w:t>“一张网”</w:t>
      </w:r>
      <w:r>
        <w:rPr>
          <w:rFonts w:hint="eastAsia" w:ascii="宋体" w:hAnsi="宋体" w:cs="仿宋_GB2312"/>
        </w:rPr>
        <w:t>的工作部署要求，及时对相关应用系统进行调整，保证甲方工作的顺利开展。</w:t>
      </w:r>
    </w:p>
    <w:bookmarkEnd w:id="9"/>
    <w:p w14:paraId="74AEE332">
      <w:pPr>
        <w:adjustRightInd w:val="0"/>
        <w:snapToGrid w:val="0"/>
        <w:spacing w:line="460" w:lineRule="exact"/>
        <w:rPr>
          <w:rFonts w:hint="default" w:ascii="宋体" w:hAnsi="宋体" w:eastAsia="宋体" w:cs="仿宋_GB2312"/>
          <w:lang w:val="en-US" w:eastAsia="zh-CN"/>
        </w:rPr>
      </w:pPr>
    </w:p>
    <w:sectPr>
      <w:headerReference r:id="rId6" w:type="default"/>
      <w:footerReference r:id="rId7" w:type="default"/>
      <w:pgSz w:w="11906" w:h="16838"/>
      <w:pgMar w:top="1247" w:right="1588" w:bottom="1701" w:left="1701" w:header="851" w:footer="1077" w:gutter="0"/>
      <w:pgNumType w:start="1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CDC17C">
    <w:pPr>
      <w:pStyle w:val="14"/>
      <w:ind w:right="180"/>
      <w:jc w:val="right"/>
    </w:pPr>
    <w:r>
      <w:tab/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372D11">
    <w:pPr>
      <w:pStyle w:val="1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0F9C4">
    <w:pPr>
      <w:pStyle w:val="1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6892F9"/>
    <w:multiLevelType w:val="singleLevel"/>
    <w:tmpl w:val="B46892F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08D61838"/>
    <w:multiLevelType w:val="multilevel"/>
    <w:tmpl w:val="08D61838"/>
    <w:lvl w:ilvl="0" w:tentative="0">
      <w:start w:val="1"/>
      <w:numFmt w:val="decimal"/>
      <w:pStyle w:val="2"/>
      <w:suff w:val="nothing"/>
      <w:lvlText w:val="%1  "/>
      <w:lvlJc w:val="left"/>
      <w:pPr>
        <w:ind w:left="432" w:hanging="432"/>
      </w:pPr>
      <w:rPr>
        <w:rFonts w:hint="default" w:ascii="Times New Roman" w:hAnsi="Times New Roman" w:eastAsia="宋体"/>
        <w:b/>
        <w:i w:val="0"/>
        <w:sz w:val="28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576" w:hanging="576"/>
      </w:pPr>
      <w:rPr>
        <w:rFonts w:hint="default" w:ascii="Times New Roman" w:hAnsi="Times New Roman" w:eastAsia="宋体"/>
        <w:b/>
        <w:i w:val="0"/>
        <w:sz w:val="24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720" w:hanging="720"/>
      </w:pPr>
      <w:rPr>
        <w:rFonts w:hint="default" w:ascii="Times New Roman" w:hAnsi="Times New Roman" w:eastAsia="宋体"/>
        <w:b/>
        <w:i w:val="0"/>
        <w:sz w:val="24"/>
      </w:rPr>
    </w:lvl>
    <w:lvl w:ilvl="3" w:tentative="0">
      <w:start w:val="1"/>
      <w:numFmt w:val="decimal"/>
      <w:pStyle w:val="3"/>
      <w:suff w:val="nothing"/>
      <w:lvlText w:val="%1.%2.%3.%4 "/>
      <w:lvlJc w:val="left"/>
      <w:pPr>
        <w:ind w:left="864" w:hanging="864"/>
      </w:pPr>
      <w:rPr>
        <w:rFonts w:hint="default" w:ascii="Times New Roman" w:hAnsi="Times New Roman" w:eastAsia="宋体"/>
        <w:b/>
        <w:i w:val="0"/>
        <w:sz w:val="24"/>
      </w:rPr>
    </w:lvl>
    <w:lvl w:ilvl="4" w:tentative="0">
      <w:start w:val="1"/>
      <w:numFmt w:val="decimal"/>
      <w:pStyle w:val="6"/>
      <w:suff w:val="nothing"/>
      <w:lvlText w:val="%1.%2.%3.%4.%5 "/>
      <w:lvlJc w:val="left"/>
      <w:pPr>
        <w:ind w:left="1008" w:hanging="1008"/>
      </w:pPr>
      <w:rPr>
        <w:rFonts w:hint="default" w:ascii="Times New Roman" w:hAnsi="Times New Roman" w:eastAsia="宋体"/>
        <w:b/>
        <w:i w:val="0"/>
        <w:sz w:val="24"/>
      </w:rPr>
    </w:lvl>
    <w:lvl w:ilvl="5" w:tentative="0">
      <w:start w:val="1"/>
      <w:numFmt w:val="decimal"/>
      <w:pStyle w:val="7"/>
      <w:suff w:val="nothing"/>
      <w:lvlText w:val="%1.%2.%3.%4.%5.%6 "/>
      <w:lvlJc w:val="left"/>
      <w:pPr>
        <w:ind w:left="1152" w:hanging="1152"/>
      </w:pPr>
      <w:rPr>
        <w:rFonts w:hint="default" w:ascii="Times New Roman" w:hAnsi="Times New Roman" w:eastAsia="宋体"/>
        <w:b/>
        <w:i w:val="0"/>
        <w:sz w:val="24"/>
      </w:rPr>
    </w:lvl>
    <w:lvl w:ilvl="6" w:tentative="0">
      <w:start w:val="1"/>
      <w:numFmt w:val="decimal"/>
      <w:pStyle w:val="8"/>
      <w:suff w:val="nothing"/>
      <w:lvlText w:val="%1.%2.%3.%4.%5.%6.%7 "/>
      <w:lvlJc w:val="left"/>
      <w:pPr>
        <w:ind w:left="1296" w:hanging="1296"/>
      </w:pPr>
      <w:rPr>
        <w:rFonts w:hint="default" w:ascii="Times New Roman" w:hAnsi="Times New Roman" w:eastAsia="宋体"/>
        <w:b/>
        <w:i w:val="0"/>
      </w:rPr>
    </w:lvl>
    <w:lvl w:ilvl="7" w:tentative="0">
      <w:start w:val="1"/>
      <w:numFmt w:val="decimal"/>
      <w:pStyle w:val="9"/>
      <w:suff w:val="nothing"/>
      <w:lvlText w:val="%1.%2.%3.%4.%5.%6.%7.%8 "/>
      <w:lvlJc w:val="left"/>
      <w:pPr>
        <w:ind w:left="1440" w:hanging="1440"/>
      </w:pPr>
      <w:rPr>
        <w:rFonts w:hint="default" w:ascii="Times New Roman" w:hAnsi="Times New Roman" w:eastAsia="宋体"/>
        <w:b/>
        <w:i w:val="0"/>
        <w:sz w:val="24"/>
      </w:rPr>
    </w:lvl>
    <w:lvl w:ilvl="8" w:tentative="0">
      <w:start w:val="1"/>
      <w:numFmt w:val="decimal"/>
      <w:pStyle w:val="10"/>
      <w:suff w:val="nothing"/>
      <w:lvlText w:val="%1.%2.%3.%4.%5.%6.%7.%8.%9 "/>
      <w:lvlJc w:val="left"/>
      <w:pPr>
        <w:ind w:left="1584" w:hanging="1584"/>
      </w:pPr>
      <w:rPr>
        <w:rFonts w:hint="default" w:ascii="Times New Roman" w:hAnsi="Times New Roman" w:eastAsia="宋体"/>
        <w:b/>
        <w:i w:val="0"/>
        <w:sz w:val="24"/>
      </w:rPr>
    </w:lvl>
  </w:abstractNum>
  <w:abstractNum w:abstractNumId="2">
    <w:nsid w:val="0BE5779A"/>
    <w:multiLevelType w:val="multilevel"/>
    <w:tmpl w:val="0BE5779A"/>
    <w:lvl w:ilvl="0" w:tentative="0">
      <w:start w:val="1"/>
      <w:numFmt w:val="decimal"/>
      <w:lvlText w:val="%1"/>
      <w:lvlJc w:val="left"/>
      <w:pPr>
        <w:ind w:left="324" w:hanging="420"/>
      </w:pPr>
      <w:rPr>
        <w:rFonts w:hint="default" w:ascii="宋体" w:hAnsi="宋体" w:eastAsia="宋体"/>
        <w:b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C03741A"/>
    <w:multiLevelType w:val="multilevel"/>
    <w:tmpl w:val="0C03741A"/>
    <w:lvl w:ilvl="0" w:tentative="0">
      <w:start w:val="1"/>
      <w:numFmt w:val="decimal"/>
      <w:pStyle w:val="38"/>
      <w:suff w:val="nothing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9"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83"/>
    <w:rsid w:val="00041E47"/>
    <w:rsid w:val="00081DFA"/>
    <w:rsid w:val="000C40B5"/>
    <w:rsid w:val="00122D56"/>
    <w:rsid w:val="001F3A30"/>
    <w:rsid w:val="002933F6"/>
    <w:rsid w:val="00320336"/>
    <w:rsid w:val="003F574E"/>
    <w:rsid w:val="00400F76"/>
    <w:rsid w:val="00436B73"/>
    <w:rsid w:val="00444555"/>
    <w:rsid w:val="00455CFB"/>
    <w:rsid w:val="00481144"/>
    <w:rsid w:val="004C4DA5"/>
    <w:rsid w:val="004D274D"/>
    <w:rsid w:val="00547578"/>
    <w:rsid w:val="006344A6"/>
    <w:rsid w:val="0069624E"/>
    <w:rsid w:val="00696404"/>
    <w:rsid w:val="006C12B7"/>
    <w:rsid w:val="006C7CEE"/>
    <w:rsid w:val="007B4AC6"/>
    <w:rsid w:val="007D715C"/>
    <w:rsid w:val="007F44AF"/>
    <w:rsid w:val="00867683"/>
    <w:rsid w:val="0089488D"/>
    <w:rsid w:val="008A5D21"/>
    <w:rsid w:val="008A6FAB"/>
    <w:rsid w:val="008C6234"/>
    <w:rsid w:val="008C7F9B"/>
    <w:rsid w:val="009E0B33"/>
    <w:rsid w:val="00A476D3"/>
    <w:rsid w:val="00AF5B02"/>
    <w:rsid w:val="00B94F2D"/>
    <w:rsid w:val="00BA315E"/>
    <w:rsid w:val="00C82D54"/>
    <w:rsid w:val="00CC637D"/>
    <w:rsid w:val="00CD7414"/>
    <w:rsid w:val="00D30E48"/>
    <w:rsid w:val="00D317DF"/>
    <w:rsid w:val="00D946D9"/>
    <w:rsid w:val="00DB4C0F"/>
    <w:rsid w:val="00E92DBA"/>
    <w:rsid w:val="00EA07A0"/>
    <w:rsid w:val="23102260"/>
    <w:rsid w:val="435E06CC"/>
    <w:rsid w:val="4CDA656F"/>
    <w:rsid w:val="69805A55"/>
    <w:rsid w:val="7CEF1D89"/>
    <w:rsid w:val="7FFE9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ind w:firstLine="420"/>
    </w:pPr>
    <w:rPr>
      <w:rFonts w:ascii="Times New Roman" w:hAnsi="Times New Roman" w:eastAsia="宋体" w:cs="宋体"/>
      <w:kern w:val="2"/>
      <w:sz w:val="24"/>
      <w:lang w:val="en-US" w:eastAsia="zh-CN" w:bidi="ar-SA"/>
    </w:rPr>
  </w:style>
  <w:style w:type="paragraph" w:styleId="2">
    <w:name w:val="heading 1"/>
    <w:basedOn w:val="3"/>
    <w:next w:val="1"/>
    <w:link w:val="24"/>
    <w:qFormat/>
    <w:uiPriority w:val="0"/>
    <w:pPr>
      <w:numPr>
        <w:ilvl w:val="0"/>
      </w:numPr>
      <w:outlineLvl w:val="0"/>
    </w:pPr>
    <w:rPr>
      <w:rFonts w:ascii="Times New Roman" w:hAnsi="Times New Roman"/>
      <w:sz w:val="28"/>
    </w:rPr>
  </w:style>
  <w:style w:type="paragraph" w:styleId="4">
    <w:name w:val="heading 2"/>
    <w:basedOn w:val="1"/>
    <w:next w:val="1"/>
    <w:link w:val="25"/>
    <w:qFormat/>
    <w:uiPriority w:val="0"/>
    <w:pPr>
      <w:keepNext/>
      <w:keepLines/>
      <w:numPr>
        <w:ilvl w:val="1"/>
        <w:numId w:val="1"/>
      </w:numPr>
      <w:outlineLvl w:val="1"/>
    </w:pPr>
    <w:rPr>
      <w:b/>
      <w:bCs/>
      <w:sz w:val="28"/>
    </w:rPr>
  </w:style>
  <w:style w:type="paragraph" w:styleId="5">
    <w:name w:val="heading 3"/>
    <w:basedOn w:val="1"/>
    <w:next w:val="1"/>
    <w:link w:val="26"/>
    <w:qFormat/>
    <w:uiPriority w:val="0"/>
    <w:pPr>
      <w:keepNext/>
      <w:keepLines/>
      <w:numPr>
        <w:ilvl w:val="2"/>
        <w:numId w:val="1"/>
      </w:numPr>
      <w:outlineLvl w:val="2"/>
    </w:pPr>
    <w:rPr>
      <w:b/>
      <w:bCs/>
      <w:szCs w:val="32"/>
    </w:rPr>
  </w:style>
  <w:style w:type="paragraph" w:styleId="3">
    <w:name w:val="heading 4"/>
    <w:basedOn w:val="1"/>
    <w:next w:val="1"/>
    <w:link w:val="27"/>
    <w:qFormat/>
    <w:uiPriority w:val="0"/>
    <w:pPr>
      <w:keepNext/>
      <w:keepLines/>
      <w:numPr>
        <w:ilvl w:val="3"/>
        <w:numId w:val="1"/>
      </w:numPr>
      <w:outlineLvl w:val="3"/>
    </w:pPr>
    <w:rPr>
      <w:rFonts w:ascii="Arial" w:hAnsi="Arial"/>
      <w:b/>
      <w:bCs/>
      <w:szCs w:val="28"/>
    </w:rPr>
  </w:style>
  <w:style w:type="paragraph" w:styleId="6">
    <w:name w:val="heading 5"/>
    <w:basedOn w:val="1"/>
    <w:next w:val="1"/>
    <w:link w:val="28"/>
    <w:qFormat/>
    <w:uiPriority w:val="0"/>
    <w:pPr>
      <w:keepNext/>
      <w:keepLines/>
      <w:numPr>
        <w:ilvl w:val="4"/>
        <w:numId w:val="1"/>
      </w:numPr>
      <w:outlineLvl w:val="4"/>
    </w:pPr>
    <w:rPr>
      <w:b/>
      <w:bCs/>
      <w:szCs w:val="28"/>
    </w:rPr>
  </w:style>
  <w:style w:type="paragraph" w:styleId="7">
    <w:name w:val="heading 6"/>
    <w:basedOn w:val="1"/>
    <w:next w:val="1"/>
    <w:link w:val="29"/>
    <w:qFormat/>
    <w:uiPriority w:val="0"/>
    <w:pPr>
      <w:keepNext/>
      <w:keepLines/>
      <w:numPr>
        <w:ilvl w:val="5"/>
        <w:numId w:val="1"/>
      </w:numPr>
      <w:outlineLvl w:val="5"/>
    </w:pPr>
    <w:rPr>
      <w:rFonts w:ascii="Arial" w:hAnsi="Arial"/>
      <w:b/>
      <w:bCs/>
    </w:rPr>
  </w:style>
  <w:style w:type="paragraph" w:styleId="8">
    <w:name w:val="heading 7"/>
    <w:basedOn w:val="1"/>
    <w:next w:val="1"/>
    <w:link w:val="30"/>
    <w:qFormat/>
    <w:uiPriority w:val="0"/>
    <w:pPr>
      <w:keepNext/>
      <w:keepLines/>
      <w:numPr>
        <w:ilvl w:val="6"/>
        <w:numId w:val="1"/>
      </w:numPr>
      <w:outlineLvl w:val="6"/>
    </w:pPr>
    <w:rPr>
      <w:b/>
      <w:bCs/>
    </w:rPr>
  </w:style>
  <w:style w:type="paragraph" w:styleId="9">
    <w:name w:val="heading 8"/>
    <w:basedOn w:val="1"/>
    <w:next w:val="1"/>
    <w:link w:val="31"/>
    <w:qFormat/>
    <w:uiPriority w:val="0"/>
    <w:pPr>
      <w:keepNext/>
      <w:keepLines/>
      <w:numPr>
        <w:ilvl w:val="7"/>
        <w:numId w:val="1"/>
      </w:numPr>
      <w:outlineLvl w:val="7"/>
    </w:pPr>
    <w:rPr>
      <w:rFonts w:ascii="Arial" w:hAnsi="Arial"/>
      <w:b/>
    </w:rPr>
  </w:style>
  <w:style w:type="paragraph" w:styleId="10">
    <w:name w:val="heading 9"/>
    <w:basedOn w:val="1"/>
    <w:next w:val="1"/>
    <w:link w:val="32"/>
    <w:qFormat/>
    <w:uiPriority w:val="0"/>
    <w:pPr>
      <w:keepNext/>
      <w:keepLines/>
      <w:numPr>
        <w:ilvl w:val="8"/>
        <w:numId w:val="1"/>
      </w:numPr>
      <w:outlineLvl w:val="8"/>
    </w:pPr>
    <w:rPr>
      <w:rFonts w:ascii="Arial" w:hAnsi="Arial"/>
      <w:b/>
      <w:szCs w:val="21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able of authorities"/>
    <w:basedOn w:val="1"/>
    <w:next w:val="1"/>
    <w:semiHidden/>
    <w:unhideWhenUsed/>
    <w:qFormat/>
    <w:uiPriority w:val="99"/>
    <w:pPr>
      <w:ind w:left="420" w:leftChars="200" w:firstLine="0"/>
    </w:pPr>
  </w:style>
  <w:style w:type="paragraph" w:styleId="12">
    <w:name w:val="Body Text Indent"/>
    <w:basedOn w:val="1"/>
    <w:link w:val="36"/>
    <w:unhideWhenUsed/>
    <w:qFormat/>
    <w:uiPriority w:val="0"/>
    <w:pPr>
      <w:widowControl w:val="0"/>
      <w:ind w:firstLine="720" w:firstLineChars="300"/>
      <w:jc w:val="both"/>
    </w:pPr>
    <w:rPr>
      <w:rFonts w:cs="Times New Roman"/>
      <w:szCs w:val="24"/>
    </w:rPr>
  </w:style>
  <w:style w:type="paragraph" w:styleId="13">
    <w:name w:val="toc 3"/>
    <w:basedOn w:val="1"/>
    <w:next w:val="1"/>
    <w:qFormat/>
    <w:uiPriority w:val="39"/>
    <w:pPr>
      <w:spacing w:line="240" w:lineRule="auto"/>
      <w:ind w:left="400" w:leftChars="400" w:firstLine="0"/>
    </w:pPr>
  </w:style>
  <w:style w:type="paragraph" w:styleId="14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5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  <w:pPr>
      <w:ind w:firstLine="0"/>
    </w:pPr>
    <w:rPr>
      <w:b/>
    </w:rPr>
  </w:style>
  <w:style w:type="paragraph" w:styleId="17">
    <w:name w:val="toc 2"/>
    <w:basedOn w:val="1"/>
    <w:next w:val="1"/>
    <w:qFormat/>
    <w:uiPriority w:val="39"/>
    <w:pPr>
      <w:ind w:left="200" w:leftChars="200" w:firstLine="0"/>
    </w:pPr>
  </w:style>
  <w:style w:type="table" w:styleId="19">
    <w:name w:val="Table Grid"/>
    <w:basedOn w:val="1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Hyperlink"/>
    <w:basedOn w:val="2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2">
    <w:name w:val="页眉 字符"/>
    <w:basedOn w:val="20"/>
    <w:link w:val="15"/>
    <w:qFormat/>
    <w:uiPriority w:val="99"/>
    <w:rPr>
      <w:sz w:val="18"/>
      <w:szCs w:val="18"/>
    </w:rPr>
  </w:style>
  <w:style w:type="character" w:customStyle="1" w:styleId="23">
    <w:name w:val="页脚 字符"/>
    <w:basedOn w:val="20"/>
    <w:link w:val="14"/>
    <w:qFormat/>
    <w:uiPriority w:val="0"/>
    <w:rPr>
      <w:sz w:val="18"/>
      <w:szCs w:val="18"/>
    </w:rPr>
  </w:style>
  <w:style w:type="character" w:customStyle="1" w:styleId="24">
    <w:name w:val="标题 1 字符"/>
    <w:basedOn w:val="20"/>
    <w:link w:val="2"/>
    <w:qFormat/>
    <w:uiPriority w:val="0"/>
    <w:rPr>
      <w:rFonts w:ascii="Times New Roman" w:hAnsi="Times New Roman" w:eastAsia="宋体" w:cs="宋体"/>
      <w:b/>
      <w:bCs/>
      <w:sz w:val="28"/>
      <w:szCs w:val="28"/>
    </w:rPr>
  </w:style>
  <w:style w:type="character" w:customStyle="1" w:styleId="25">
    <w:name w:val="标题 2 字符"/>
    <w:basedOn w:val="20"/>
    <w:link w:val="4"/>
    <w:qFormat/>
    <w:uiPriority w:val="0"/>
    <w:rPr>
      <w:rFonts w:ascii="Times New Roman" w:hAnsi="Times New Roman" w:eastAsia="宋体" w:cs="宋体"/>
      <w:b/>
      <w:bCs/>
      <w:sz w:val="28"/>
      <w:szCs w:val="20"/>
    </w:rPr>
  </w:style>
  <w:style w:type="character" w:customStyle="1" w:styleId="26">
    <w:name w:val="标题 3 字符"/>
    <w:basedOn w:val="20"/>
    <w:link w:val="5"/>
    <w:qFormat/>
    <w:uiPriority w:val="0"/>
    <w:rPr>
      <w:rFonts w:ascii="Times New Roman" w:hAnsi="Times New Roman" w:eastAsia="宋体" w:cs="宋体"/>
      <w:b/>
      <w:bCs/>
      <w:sz w:val="24"/>
      <w:szCs w:val="32"/>
    </w:rPr>
  </w:style>
  <w:style w:type="character" w:customStyle="1" w:styleId="27">
    <w:name w:val="标题 4 字符"/>
    <w:basedOn w:val="20"/>
    <w:link w:val="3"/>
    <w:qFormat/>
    <w:uiPriority w:val="0"/>
    <w:rPr>
      <w:rFonts w:ascii="Arial" w:hAnsi="Arial" w:eastAsia="宋体" w:cs="宋体"/>
      <w:b/>
      <w:bCs/>
      <w:sz w:val="24"/>
      <w:szCs w:val="28"/>
    </w:rPr>
  </w:style>
  <w:style w:type="character" w:customStyle="1" w:styleId="28">
    <w:name w:val="标题 5 字符"/>
    <w:basedOn w:val="20"/>
    <w:link w:val="6"/>
    <w:qFormat/>
    <w:uiPriority w:val="0"/>
    <w:rPr>
      <w:rFonts w:ascii="Times New Roman" w:hAnsi="Times New Roman" w:eastAsia="宋体" w:cs="宋体"/>
      <w:b/>
      <w:bCs/>
      <w:sz w:val="24"/>
      <w:szCs w:val="28"/>
    </w:rPr>
  </w:style>
  <w:style w:type="character" w:customStyle="1" w:styleId="29">
    <w:name w:val="标题 6 字符"/>
    <w:basedOn w:val="20"/>
    <w:link w:val="7"/>
    <w:qFormat/>
    <w:uiPriority w:val="0"/>
    <w:rPr>
      <w:rFonts w:ascii="Arial" w:hAnsi="Arial" w:eastAsia="宋体" w:cs="宋体"/>
      <w:b/>
      <w:bCs/>
      <w:sz w:val="24"/>
      <w:szCs w:val="20"/>
    </w:rPr>
  </w:style>
  <w:style w:type="character" w:customStyle="1" w:styleId="30">
    <w:name w:val="标题 7 字符"/>
    <w:basedOn w:val="20"/>
    <w:link w:val="8"/>
    <w:qFormat/>
    <w:uiPriority w:val="0"/>
    <w:rPr>
      <w:rFonts w:ascii="Times New Roman" w:hAnsi="Times New Roman" w:eastAsia="宋体" w:cs="宋体"/>
      <w:b/>
      <w:bCs/>
      <w:sz w:val="24"/>
      <w:szCs w:val="20"/>
    </w:rPr>
  </w:style>
  <w:style w:type="character" w:customStyle="1" w:styleId="31">
    <w:name w:val="标题 8 字符"/>
    <w:basedOn w:val="20"/>
    <w:link w:val="9"/>
    <w:qFormat/>
    <w:uiPriority w:val="0"/>
    <w:rPr>
      <w:rFonts w:ascii="Arial" w:hAnsi="Arial" w:eastAsia="宋体" w:cs="宋体"/>
      <w:b/>
      <w:sz w:val="24"/>
      <w:szCs w:val="20"/>
    </w:rPr>
  </w:style>
  <w:style w:type="character" w:customStyle="1" w:styleId="32">
    <w:name w:val="标题 9 字符"/>
    <w:basedOn w:val="20"/>
    <w:link w:val="10"/>
    <w:qFormat/>
    <w:uiPriority w:val="0"/>
    <w:rPr>
      <w:rFonts w:ascii="Arial" w:hAnsi="Arial" w:eastAsia="宋体" w:cs="宋体"/>
      <w:b/>
      <w:sz w:val="24"/>
      <w:szCs w:val="21"/>
    </w:rPr>
  </w:style>
  <w:style w:type="paragraph" w:styleId="33">
    <w:name w:val="List Paragraph"/>
    <w:basedOn w:val="1"/>
    <w:qFormat/>
    <w:uiPriority w:val="34"/>
    <w:pPr>
      <w:ind w:firstLine="200" w:firstLineChars="200"/>
    </w:pPr>
  </w:style>
  <w:style w:type="character" w:customStyle="1" w:styleId="34">
    <w:name w:val="列出段落 Char"/>
    <w:link w:val="35"/>
    <w:qFormat/>
    <w:uiPriority w:val="0"/>
    <w:rPr>
      <w:rFonts w:ascii="Calibri" w:hAnsi="Calibri"/>
    </w:rPr>
  </w:style>
  <w:style w:type="paragraph" w:customStyle="1" w:styleId="35">
    <w:name w:val="列出段落1"/>
    <w:basedOn w:val="1"/>
    <w:link w:val="34"/>
    <w:qFormat/>
    <w:uiPriority w:val="0"/>
    <w:pPr>
      <w:widowControl w:val="0"/>
      <w:spacing w:line="240" w:lineRule="auto"/>
      <w:ind w:firstLine="200" w:firstLineChars="200"/>
      <w:jc w:val="both"/>
    </w:pPr>
    <w:rPr>
      <w:rFonts w:ascii="Calibri" w:hAnsi="Calibri" w:eastAsiaTheme="minorEastAsia" w:cstheme="minorBidi"/>
      <w:sz w:val="21"/>
      <w:szCs w:val="22"/>
    </w:rPr>
  </w:style>
  <w:style w:type="character" w:customStyle="1" w:styleId="36">
    <w:name w:val="正文文本缩进 字符"/>
    <w:basedOn w:val="20"/>
    <w:link w:val="12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37">
    <w:name w:val="BG"/>
    <w:basedOn w:val="38"/>
    <w:qFormat/>
    <w:uiPriority w:val="0"/>
    <w:pPr>
      <w:numPr>
        <w:ilvl w:val="0"/>
        <w:numId w:val="0"/>
      </w:numPr>
    </w:pPr>
  </w:style>
  <w:style w:type="paragraph" w:customStyle="1" w:styleId="38">
    <w:name w:val="BG1"/>
    <w:basedOn w:val="11"/>
    <w:qFormat/>
    <w:uiPriority w:val="0"/>
    <w:pPr>
      <w:widowControl w:val="0"/>
      <w:numPr>
        <w:ilvl w:val="0"/>
        <w:numId w:val="2"/>
      </w:numPr>
      <w:adjustRightInd w:val="0"/>
      <w:snapToGrid w:val="0"/>
      <w:spacing w:line="240" w:lineRule="atLeast"/>
      <w:ind w:left="432" w:leftChars="0" w:hanging="432"/>
      <w:jc w:val="center"/>
    </w:pPr>
    <w:rPr>
      <w:rFonts w:ascii="仿宋" w:hAnsi="仿宋" w:eastAsia="仿宋" w:cs="仿宋"/>
      <w:szCs w:val="24"/>
    </w:rPr>
  </w:style>
  <w:style w:type="paragraph" w:customStyle="1" w:styleId="39">
    <w:name w:val="BG2"/>
    <w:basedOn w:val="38"/>
    <w:qFormat/>
    <w:uiPriority w:val="0"/>
    <w:pPr>
      <w:numPr>
        <w:ilvl w:val="1"/>
      </w:numPr>
      <w:spacing w:line="240" w:lineRule="auto"/>
      <w:ind w:left="576" w:hanging="576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1905</Words>
  <Characters>1968</Characters>
  <Lines>560</Lines>
  <Paragraphs>516</Paragraphs>
  <TotalTime>1</TotalTime>
  <ScaleCrop>false</ScaleCrop>
  <LinksUpToDate>false</LinksUpToDate>
  <CharactersWithSpaces>2045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2023-12-14T16:53:00Z</dcterms:created>
  <dc:creator>谢丽芬</dc:creator>
  <cp:lastModifiedBy>kos</cp:lastModifiedBy>
  <cp:lastPrinted>2025-12-25T17:26:08Z</cp:lastPrinted>
  <dcterms:modified xsi:type="dcterms:W3CDTF">2025-12-25T17:44:33Z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eyJoZGlkIjoiOGI4NjI5OTBmMDM1ODFlMDkzNDFlZTFiMWNhZWU5ZTMifQ==</vt:lpwstr>
  </property>
  <property fmtid="{D5CDD505-2E9C-101B-9397-08002B2CF9AE}" pid="3" name="KSOProductBuildVer">
    <vt:lpwstr>2052-12.8.2.21176</vt:lpwstr>
  </property>
  <property fmtid="{D5CDD505-2E9C-101B-9397-08002B2CF9AE}" pid="4" name="ICV">
    <vt:lpwstr>C3D9C68612F0493F90BA5880BEDA0FF5</vt:lpwstr>
  </property>
</Properties>
</file>