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8CA6B1">
      <w:pPr>
        <w:keepNext w:val="0"/>
        <w:keepLines w:val="0"/>
        <w:pageBreakBefore w:val="0"/>
        <w:widowControl w:val="0"/>
        <w:kinsoku/>
        <w:wordWrap/>
        <w:overflowPunct/>
        <w:topLinePunct w:val="0"/>
        <w:autoSpaceDE/>
        <w:autoSpaceDN/>
        <w:bidi w:val="0"/>
        <w:adjustRightInd/>
        <w:snapToGrid/>
        <w:spacing w:after="0" w:line="66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rPr>
        <w:t>武汉教育</w:t>
      </w:r>
      <w:r>
        <w:rPr>
          <w:rFonts w:hint="eastAsia" w:ascii="方正小标宋简体" w:hAnsi="方正小标宋简体" w:eastAsia="方正小标宋简体" w:cs="方正小标宋简体"/>
          <w:b w:val="0"/>
          <w:bCs w:val="0"/>
          <w:sz w:val="36"/>
          <w:szCs w:val="36"/>
          <w:lang w:eastAsia="zh-CN"/>
        </w:rPr>
        <w:t>大数据体系（教育</w:t>
      </w:r>
      <w:r>
        <w:rPr>
          <w:rFonts w:hint="eastAsia" w:ascii="方正小标宋简体" w:hAnsi="方正小标宋简体" w:eastAsia="方正小标宋简体" w:cs="方正小标宋简体"/>
          <w:b w:val="0"/>
          <w:bCs w:val="0"/>
          <w:sz w:val="36"/>
          <w:szCs w:val="36"/>
        </w:rPr>
        <w:t>综合管理</w:t>
      </w:r>
      <w:r>
        <w:rPr>
          <w:rFonts w:hint="eastAsia" w:ascii="方正小标宋简体" w:hAnsi="方正小标宋简体" w:eastAsia="方正小标宋简体" w:cs="方正小标宋简体"/>
          <w:b w:val="0"/>
          <w:bCs w:val="0"/>
          <w:sz w:val="36"/>
          <w:szCs w:val="36"/>
          <w:lang w:eastAsia="zh-CN"/>
        </w:rPr>
        <w:t>）建设</w:t>
      </w:r>
      <w:r>
        <w:rPr>
          <w:rFonts w:hint="eastAsia" w:ascii="方正小标宋简体" w:hAnsi="方正小标宋简体" w:eastAsia="方正小标宋简体" w:cs="方正小标宋简体"/>
          <w:b w:val="0"/>
          <w:bCs w:val="0"/>
          <w:sz w:val="36"/>
          <w:szCs w:val="36"/>
        </w:rPr>
        <w:t>项目</w:t>
      </w:r>
    </w:p>
    <w:p w14:paraId="5C6E7B6C">
      <w:pPr>
        <w:keepNext w:val="0"/>
        <w:keepLines w:val="0"/>
        <w:pageBreakBefore w:val="0"/>
        <w:widowControl w:val="0"/>
        <w:kinsoku/>
        <w:wordWrap/>
        <w:overflowPunct/>
        <w:topLinePunct w:val="0"/>
        <w:autoSpaceDE/>
        <w:autoSpaceDN/>
        <w:bidi w:val="0"/>
        <w:adjustRightInd/>
        <w:snapToGrid/>
        <w:spacing w:after="0" w:afterLines="50" w:line="66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z w:val="36"/>
          <w:szCs w:val="36"/>
        </w:rPr>
      </w:pPr>
      <w:r>
        <w:rPr>
          <w:rFonts w:hint="eastAsia" w:ascii="方正小标宋简体" w:hAnsi="方正小标宋简体" w:eastAsia="方正小标宋简体" w:cs="方正小标宋简体"/>
          <w:b w:val="0"/>
          <w:bCs w:val="0"/>
          <w:sz w:val="36"/>
          <w:szCs w:val="36"/>
          <w:lang w:eastAsia="zh-CN"/>
        </w:rPr>
        <w:t>项目管理</w:t>
      </w:r>
      <w:r>
        <w:rPr>
          <w:rFonts w:hint="eastAsia" w:ascii="方正小标宋简体" w:hAnsi="方正小标宋简体" w:eastAsia="方正小标宋简体" w:cs="方正小标宋简体"/>
          <w:b w:val="0"/>
          <w:bCs w:val="0"/>
          <w:sz w:val="36"/>
          <w:szCs w:val="36"/>
        </w:rPr>
        <w:t>服务采购需求</w:t>
      </w:r>
    </w:p>
    <w:p w14:paraId="0FFDC336">
      <w:pPr>
        <w:keepNext w:val="0"/>
        <w:keepLines w:val="0"/>
        <w:pageBreakBefore w:val="0"/>
        <w:widowControl w:val="0"/>
        <w:kinsoku/>
        <w:wordWrap/>
        <w:overflowPunct/>
        <w:topLinePunct w:val="0"/>
        <w:autoSpaceDE/>
        <w:autoSpaceDN/>
        <w:bidi w:val="0"/>
        <w:adjustRightInd/>
        <w:snapToGrid/>
        <w:spacing w:before="0" w:beforeLines="50" w:line="480" w:lineRule="exact"/>
        <w:ind w:left="0" w:firstLine="643" w:firstLineChars="200"/>
        <w:jc w:val="both"/>
        <w:textAlignment w:val="auto"/>
        <w:outlineLvl w:val="0"/>
        <w:rPr>
          <w:rFonts w:hint="eastAsia" w:ascii="方正黑体_GBK" w:hAnsi="方正黑体_GBK" w:eastAsia="方正黑体_GBK" w:cs="方正黑体_GBK"/>
          <w:b/>
          <w:bCs w:val="0"/>
          <w:sz w:val="32"/>
          <w:szCs w:val="32"/>
        </w:rPr>
      </w:pPr>
      <w:bookmarkStart w:id="0" w:name="heading_0"/>
      <w:r>
        <w:rPr>
          <w:rFonts w:hint="eastAsia" w:ascii="方正黑体_GBK" w:hAnsi="方正黑体_GBK" w:eastAsia="方正黑体_GBK" w:cs="方正黑体_GBK"/>
          <w:b/>
          <w:bCs w:val="0"/>
          <w:sz w:val="32"/>
          <w:szCs w:val="32"/>
        </w:rPr>
        <w:t>一、项目概况</w:t>
      </w:r>
      <w:bookmarkEnd w:id="0"/>
    </w:p>
    <w:p w14:paraId="1E9830BD">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（一）</w:t>
      </w:r>
      <w:r>
        <w:rPr>
          <w:rFonts w:hint="eastAsia" w:ascii="方正仿宋_GBK" w:hAnsi="方正仿宋_GBK" w:eastAsia="方正仿宋_GBK" w:cs="方正仿宋_GBK"/>
          <w:sz w:val="28"/>
          <w:szCs w:val="28"/>
        </w:rPr>
        <w:t>项目名称：武汉教育大数据体系（教育综合管理）建设项目管理服务</w:t>
      </w:r>
      <w:r>
        <w:rPr>
          <w:rFonts w:hint="eastAsia" w:ascii="方正仿宋_GBK" w:hAnsi="方正仿宋_GBK" w:eastAsia="方正仿宋_GBK" w:cs="方正仿宋_GBK"/>
          <w:sz w:val="28"/>
          <w:szCs w:val="28"/>
          <w:lang w:eastAsia="zh-CN"/>
        </w:rPr>
        <w:t>。</w:t>
      </w:r>
    </w:p>
    <w:p w14:paraId="008C24F1">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二</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项目建设内容：</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武汉教育大数据体系(教育综合管理)项目需建设包括中小学校发展素质教育考核评价、教育装备综合管理、教育管理调度等应用、5项接口开发服务、城市数字公共基础设施(数字地图)、大模型服务、教育指标体系分析知识库及数据治理服务等。</w:t>
      </w:r>
    </w:p>
    <w:p w14:paraId="557E156C">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三</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最高限价：人民币</w:t>
      </w:r>
      <w:r>
        <w:rPr>
          <w:rFonts w:hint="eastAsia" w:ascii="方正仿宋_GBK" w:hAnsi="方正仿宋_GBK" w:eastAsia="方正仿宋_GBK" w:cs="方正仿宋_GBK"/>
          <w:sz w:val="28"/>
          <w:szCs w:val="28"/>
          <w:lang w:val="en-US" w:eastAsia="zh-CN"/>
        </w:rPr>
        <w:t>13.94万元。</w:t>
      </w:r>
    </w:p>
    <w:p w14:paraId="42DC90A2">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四</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t>服务范围：为武汉教育大数据体系（教育综合管理）建设项目提供项目管理服务，包含监理</w:t>
      </w:r>
      <w:r>
        <w:rPr>
          <w:rFonts w:hint="eastAsia" w:ascii="方正仿宋_GBK" w:hAnsi="方正仿宋_GBK" w:eastAsia="方正仿宋_GBK" w:cs="方正仿宋_GBK"/>
          <w:sz w:val="28"/>
          <w:szCs w:val="28"/>
          <w:lang w:val="en-US" w:eastAsia="zh-CN"/>
        </w:rPr>
        <w:t>服务</w:t>
      </w:r>
      <w:r>
        <w:rPr>
          <w:rFonts w:hint="eastAsia" w:ascii="方正仿宋_GBK" w:hAnsi="方正仿宋_GBK" w:eastAsia="方正仿宋_GBK" w:cs="方正仿宋_GBK"/>
          <w:sz w:val="28"/>
          <w:szCs w:val="28"/>
        </w:rPr>
        <w:t>、结算审</w:t>
      </w:r>
      <w:r>
        <w:rPr>
          <w:rFonts w:hint="eastAsia" w:ascii="方正仿宋_GBK" w:hAnsi="方正仿宋_GBK" w:eastAsia="方正仿宋_GBK" w:cs="方正仿宋_GBK"/>
          <w:sz w:val="28"/>
          <w:szCs w:val="28"/>
          <w:lang w:val="en-US" w:eastAsia="zh-CN"/>
        </w:rPr>
        <w:t>核服务等</w:t>
      </w:r>
      <w:r>
        <w:rPr>
          <w:rFonts w:hint="eastAsia" w:ascii="方正仿宋_GBK" w:hAnsi="方正仿宋_GBK" w:eastAsia="方正仿宋_GBK" w:cs="方正仿宋_GBK"/>
          <w:sz w:val="28"/>
          <w:szCs w:val="28"/>
        </w:rPr>
        <w:t>。</w:t>
      </w:r>
    </w:p>
    <w:p w14:paraId="1B3AAB2C">
      <w:pPr>
        <w:keepNext w:val="0"/>
        <w:keepLines w:val="0"/>
        <w:pageBreakBefore w:val="0"/>
        <w:widowControl w:val="0"/>
        <w:kinsoku/>
        <w:wordWrap/>
        <w:overflowPunct/>
        <w:topLinePunct w:val="0"/>
        <w:autoSpaceDE/>
        <w:autoSpaceDN/>
        <w:bidi w:val="0"/>
        <w:adjustRightInd/>
        <w:snapToGrid/>
        <w:spacing w:before="0" w:beforeLines="50" w:line="480" w:lineRule="exact"/>
        <w:ind w:left="0" w:firstLine="643" w:firstLineChars="200"/>
        <w:jc w:val="both"/>
        <w:textAlignment w:val="auto"/>
        <w:outlineLvl w:val="0"/>
        <w:rPr>
          <w:rFonts w:hint="eastAsia" w:ascii="方正黑体_GBK" w:hAnsi="方正黑体_GBK" w:eastAsia="方正黑体_GBK" w:cs="方正黑体_GBK"/>
          <w:b/>
          <w:bCs w:val="0"/>
          <w:color w:val="000000" w:themeColor="text1"/>
          <w:sz w:val="32"/>
          <w:szCs w:val="32"/>
          <w14:textFill>
            <w14:solidFill>
              <w14:schemeClr w14:val="tx1"/>
            </w14:solidFill>
          </w14:textFill>
        </w:rPr>
      </w:pPr>
      <w:bookmarkStart w:id="1" w:name="heading_1"/>
      <w:r>
        <w:rPr>
          <w:rFonts w:hint="eastAsia" w:ascii="方正黑体_GBK" w:hAnsi="方正黑体_GBK" w:eastAsia="方正黑体_GBK" w:cs="方正黑体_GBK"/>
          <w:b/>
          <w:bCs w:val="0"/>
          <w:color w:val="000000" w:themeColor="text1"/>
          <w:sz w:val="32"/>
          <w:szCs w:val="32"/>
          <w14:textFill>
            <w14:solidFill>
              <w14:schemeClr w14:val="tx1"/>
            </w14:solidFill>
          </w14:textFill>
        </w:rPr>
        <w:t>二、服务</w:t>
      </w:r>
      <w:r>
        <w:rPr>
          <w:rFonts w:hint="eastAsia" w:ascii="方正黑体_GBK" w:hAnsi="方正黑体_GBK" w:eastAsia="方正黑体_GBK" w:cs="方正黑体_GBK"/>
          <w:b/>
          <w:bCs w:val="0"/>
          <w:color w:val="000000" w:themeColor="text1"/>
          <w:sz w:val="32"/>
          <w:szCs w:val="32"/>
          <w:lang w:val="en-US" w:eastAsia="zh-CN"/>
          <w14:textFill>
            <w14:solidFill>
              <w14:schemeClr w14:val="tx1"/>
            </w14:solidFill>
          </w14:textFill>
        </w:rPr>
        <w:t>内容</w:t>
      </w:r>
      <w:r>
        <w:rPr>
          <w:rFonts w:hint="eastAsia" w:ascii="方正黑体_GBK" w:hAnsi="方正黑体_GBK" w:eastAsia="方正黑体_GBK" w:cs="方正黑体_GBK"/>
          <w:b/>
          <w:bCs w:val="0"/>
          <w:color w:val="000000" w:themeColor="text1"/>
          <w:sz w:val="32"/>
          <w:szCs w:val="32"/>
          <w14:textFill>
            <w14:solidFill>
              <w14:schemeClr w14:val="tx1"/>
            </w14:solidFill>
          </w14:textFill>
        </w:rPr>
        <w:t>及要求</w:t>
      </w:r>
      <w:bookmarkEnd w:id="1"/>
    </w:p>
    <w:p w14:paraId="5A80E440">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成交供应商需全面承接本项目自实施阶段至验收归档阶段的全过程管理工作，严格依据《信息技术服务 监理》（GB/T 19668系列）国家标准，全面落实质量控制、进度控制、投资控制、合同管理、信息管理及沟通协调的“三控两管一协调”监理职责；同时依据《建设工程造价咨询规范》（GB/T 51095-2015）、《关于印发湖北省省级办公用房维修等省级通用项目预算支出标准的通知》（鄂财预发〔2023〕40号）相关规定，独立、合规开展本项目竣工结算审核工作并出具正式成果报告，</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对本项目监理服务及造价审核成果的</w:t>
      </w:r>
      <w:r>
        <w:rPr>
          <w:rFonts w:hint="eastAsia" w:ascii="方正仿宋_GBK" w:hAnsi="方正仿宋_GBK" w:eastAsia="方正仿宋_GBK" w:cs="方正仿宋_GBK"/>
          <w:color w:val="000000" w:themeColor="text1"/>
          <w:sz w:val="28"/>
          <w:szCs w:val="28"/>
          <w14:textFill>
            <w14:solidFill>
              <w14:schemeClr w14:val="tx1"/>
            </w14:solidFill>
          </w14:textFill>
        </w:rPr>
        <w:t>合规性、真实性、有效性全权负责。</w:t>
      </w:r>
    </w:p>
    <w:p w14:paraId="663D20BA">
      <w:pPr>
        <w:keepNext w:val="0"/>
        <w:keepLines w:val="0"/>
        <w:pageBreakBefore w:val="0"/>
        <w:widowControl w:val="0"/>
        <w:kinsoku/>
        <w:wordWrap/>
        <w:overflowPunct/>
        <w:topLinePunct w:val="0"/>
        <w:autoSpaceDE/>
        <w:autoSpaceDN/>
        <w:bidi w:val="0"/>
        <w:adjustRightInd/>
        <w:snapToGrid/>
        <w:spacing w:line="480" w:lineRule="exact"/>
        <w:ind w:left="0" w:firstLine="640" w:firstLineChars="200"/>
        <w:jc w:val="both"/>
        <w:textAlignment w:val="auto"/>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pPr>
      <w:bookmarkStart w:id="2" w:name="heading_18"/>
      <w:r>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highlight w:val="none"/>
          <w:lang w:val="en-US" w:eastAsia="zh-CN"/>
          <w14:textFill>
            <w14:solidFill>
              <w14:schemeClr w14:val="tx1"/>
            </w14:solidFill>
          </w14:textFill>
        </w:rPr>
        <w:t>一</w:t>
      </w:r>
      <w:r>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t>）实施阶段服务要求</w:t>
      </w:r>
    </w:p>
    <w:p w14:paraId="4E794EE9">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（1）审核项目实施方案的合法性、合理性，校验实施方案与项目设计方案的符合性、一致性；</w:t>
      </w:r>
    </w:p>
    <w:p w14:paraId="1B0EFD15">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（2）监督核查项目所用产品及服务，确保其符合承建合同约定、法律法规及行业标准规范；</w:t>
      </w:r>
    </w:p>
    <w:p w14:paraId="3C14945B">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（3）审核项目实施计划，对计划调整进行全过程管控，确保计划调整合理合规、流程受控；</w:t>
      </w:r>
    </w:p>
    <w:p w14:paraId="092566A2">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（4）监督项目全过程实施工作，确保项目实施过程符合承建合同、设计方案及审定项目计划要求；</w:t>
      </w:r>
    </w:p>
    <w:p w14:paraId="197D897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default"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（5）审核项目各类变更事项，核查变更内容的必要性、合规性与实施可行性，同步审核变更对应的造价内容，确保项目变更及变更造价真实合规、准确可控</w:t>
      </w: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w:t>
      </w:r>
    </w:p>
    <w:p w14:paraId="3CAF281C">
      <w:pPr>
        <w:keepNext w:val="0"/>
        <w:keepLines w:val="0"/>
        <w:pageBreakBefore w:val="0"/>
        <w:widowControl w:val="0"/>
        <w:kinsoku/>
        <w:wordWrap/>
        <w:overflowPunct/>
        <w:topLinePunct w:val="0"/>
        <w:autoSpaceDE/>
        <w:autoSpaceDN/>
        <w:bidi w:val="0"/>
        <w:adjustRightInd/>
        <w:snapToGrid/>
        <w:spacing w:line="480" w:lineRule="exact"/>
        <w:ind w:left="0" w:firstLine="640" w:firstLineChars="200"/>
        <w:jc w:val="both"/>
        <w:textAlignment w:val="auto"/>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highlight w:val="none"/>
          <w:lang w:val="en-US" w:eastAsia="zh-CN"/>
          <w14:textFill>
            <w14:solidFill>
              <w14:schemeClr w14:val="tx1"/>
            </w14:solidFill>
          </w14:textFill>
        </w:rPr>
        <w:t>二</w:t>
      </w:r>
      <w:r>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t>）验收阶段服务要求</w:t>
      </w:r>
    </w:p>
    <w:p w14:paraId="6DCE6978">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（1）审核项目测试验收方案，核查验收目标、权责划分、交付清单、验收标准、验收方式及验收环境等内容的合规性与可行性；</w:t>
      </w:r>
    </w:p>
    <w:p w14:paraId="0980F4E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（2）协调、督促承建单位配合第三方测评机构完成项目系统测评工作；</w:t>
      </w:r>
    </w:p>
    <w:p w14:paraId="2C4CA63B">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（3）核验项目最终功能、性能指标，确保整体建设成果符合承建合同、法律法规及相关标准要求；</w:t>
      </w:r>
    </w:p>
    <w:p w14:paraId="3A031FD3">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（4）核查承建单位提交的各阶段技术资料、管理文档，确保文档种类、内容完整规范、符合归档标准；</w:t>
      </w:r>
    </w:p>
    <w:p w14:paraId="5B9B35A5">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（5）开展项目竣工总造价审核工作，确保项目竣工造价真实、合规、准确。</w:t>
      </w:r>
    </w:p>
    <w:p w14:paraId="37671740">
      <w:pPr>
        <w:keepNext w:val="0"/>
        <w:keepLines w:val="0"/>
        <w:pageBreakBefore w:val="0"/>
        <w:widowControl w:val="0"/>
        <w:kinsoku/>
        <w:wordWrap/>
        <w:overflowPunct/>
        <w:topLinePunct w:val="0"/>
        <w:autoSpaceDE/>
        <w:autoSpaceDN/>
        <w:bidi w:val="0"/>
        <w:adjustRightInd/>
        <w:snapToGrid/>
        <w:spacing w:line="480" w:lineRule="exact"/>
        <w:ind w:left="0" w:firstLine="640" w:firstLineChars="200"/>
        <w:jc w:val="both"/>
        <w:textAlignment w:val="auto"/>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pPr>
      <w:r>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t>（</w:t>
      </w:r>
      <w:r>
        <w:rPr>
          <w:rFonts w:hint="eastAsia" w:ascii="方正楷体_GBK" w:hAnsi="方正楷体_GBK" w:eastAsia="方正楷体_GBK" w:cs="方正楷体_GBK"/>
          <w:b w:val="0"/>
          <w:bCs w:val="0"/>
          <w:color w:val="000000" w:themeColor="text1"/>
          <w:sz w:val="32"/>
          <w:szCs w:val="32"/>
          <w:highlight w:val="none"/>
          <w:lang w:val="en-US" w:eastAsia="zh-CN"/>
          <w14:textFill>
            <w14:solidFill>
              <w14:schemeClr w14:val="tx1"/>
            </w14:solidFill>
          </w14:textFill>
        </w:rPr>
        <w:t>三</w:t>
      </w:r>
      <w:r>
        <w:rPr>
          <w:rFonts w:hint="eastAsia" w:ascii="方正楷体_GBK" w:hAnsi="方正楷体_GBK" w:eastAsia="方正楷体_GBK" w:cs="方正楷体_GBK"/>
          <w:b w:val="0"/>
          <w:bCs w:val="0"/>
          <w:color w:val="000000" w:themeColor="text1"/>
          <w:sz w:val="32"/>
          <w:szCs w:val="32"/>
          <w:highlight w:val="none"/>
          <w:lang w:eastAsia="zh-CN"/>
          <w14:textFill>
            <w14:solidFill>
              <w14:schemeClr w14:val="tx1"/>
            </w14:solidFill>
          </w14:textFill>
        </w:rPr>
        <w:t>）主要服务内容</w:t>
      </w:r>
    </w:p>
    <w:p w14:paraId="0B8ACE2A">
      <w:pPr>
        <w:keepNext w:val="0"/>
        <w:keepLines w:val="0"/>
        <w:pageBreakBefore w:val="0"/>
        <w:widowControl w:val="0"/>
        <w:kinsoku/>
        <w:wordWrap/>
        <w:overflowPunct/>
        <w:topLinePunct w:val="0"/>
        <w:autoSpaceDE/>
        <w:autoSpaceDN/>
        <w:bidi w:val="0"/>
        <w:adjustRightInd/>
        <w:snapToGrid/>
        <w:spacing w:line="480" w:lineRule="exact"/>
        <w:ind w:left="0" w:firstLine="562" w:firstLineChars="200"/>
        <w:jc w:val="both"/>
        <w:textAlignment w:val="auto"/>
        <w:rPr>
          <w:rFonts w:hint="eastAsia"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1.质量控制</w:t>
      </w:r>
    </w:p>
    <w:p w14:paraId="16E5493A">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（1）依据项目招投标文件、项目合同、技术规范及设计文件，全过程审查、监督、管控项目建设质量；</w:t>
      </w:r>
    </w:p>
    <w:p w14:paraId="02916998">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（2）采用事前预防、事中管控、事后整改的全周期管理模式，依据国家法律法规、行业标准及项目约定严控项目建设质量；</w:t>
      </w:r>
    </w:p>
    <w:p w14:paraId="65EF9DC3">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（3）组织开展项目质量检查、试运行核查及阶段性验收工作；</w:t>
      </w:r>
    </w:p>
    <w:p w14:paraId="4421BC1E">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（4）发现质量问题及时督促承建单位完成整改闭环，并跟踪复核整改效果；</w:t>
      </w:r>
    </w:p>
    <w:p w14:paraId="04D623EC">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（5）全程参与项目竣工验收与成果交接工作。</w:t>
      </w:r>
    </w:p>
    <w:p w14:paraId="0B2EE836">
      <w:pPr>
        <w:keepNext w:val="0"/>
        <w:keepLines w:val="0"/>
        <w:pageBreakBefore w:val="0"/>
        <w:widowControl w:val="0"/>
        <w:kinsoku/>
        <w:wordWrap/>
        <w:overflowPunct/>
        <w:topLinePunct w:val="0"/>
        <w:autoSpaceDE/>
        <w:autoSpaceDN/>
        <w:bidi w:val="0"/>
        <w:adjustRightInd/>
        <w:snapToGrid/>
        <w:spacing w:line="480" w:lineRule="exact"/>
        <w:ind w:left="0" w:firstLine="562" w:firstLineChars="200"/>
        <w:jc w:val="both"/>
        <w:textAlignment w:val="auto"/>
        <w:rPr>
          <w:rFonts w:hint="eastAsia"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2.进度控制</w:t>
      </w:r>
    </w:p>
    <w:p w14:paraId="71581CB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（1）审查项目的系统建设进度计划，监督计划的执行；</w:t>
      </w:r>
    </w:p>
    <w:p w14:paraId="6C2B23BF">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（2）发现系统建设进程未能按计划进行时，要求施工方调整或修改计划，采取必要措施加快施工进度，以使实际施工进度符合合同的要求。</w:t>
      </w:r>
    </w:p>
    <w:p w14:paraId="13F3FCBF">
      <w:pPr>
        <w:keepNext w:val="0"/>
        <w:keepLines w:val="0"/>
        <w:pageBreakBefore w:val="0"/>
        <w:widowControl w:val="0"/>
        <w:kinsoku/>
        <w:wordWrap/>
        <w:overflowPunct/>
        <w:topLinePunct w:val="0"/>
        <w:autoSpaceDE/>
        <w:autoSpaceDN/>
        <w:bidi w:val="0"/>
        <w:adjustRightInd/>
        <w:snapToGrid/>
        <w:spacing w:line="480" w:lineRule="exact"/>
        <w:ind w:left="0" w:firstLine="562" w:firstLineChars="200"/>
        <w:jc w:val="both"/>
        <w:textAlignment w:val="auto"/>
        <w:rPr>
          <w:rFonts w:hint="eastAsia"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3.投资控制</w:t>
      </w:r>
    </w:p>
    <w:p w14:paraId="224D1DC3">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（1）审核项目实施阶段进度款申报资料，核实工程量及付款合规性；</w:t>
      </w:r>
    </w:p>
    <w:p w14:paraId="2AEE28B9">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（2）严格管控项目变更事项，核算变更工程量及费用变化，按流程报审，严控不合理增量及超预算支出；</w:t>
      </w:r>
    </w:p>
    <w:p w14:paraId="156AD88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（3）全面审核项目竣工总造价，按照国家及行业现行规范完成结算审核，出具由一级注册造价工程师签认的正式结算审核报告。</w:t>
      </w:r>
    </w:p>
    <w:p w14:paraId="5DE337E7">
      <w:pPr>
        <w:keepNext w:val="0"/>
        <w:keepLines w:val="0"/>
        <w:pageBreakBefore w:val="0"/>
        <w:widowControl w:val="0"/>
        <w:kinsoku/>
        <w:wordWrap/>
        <w:overflowPunct/>
        <w:topLinePunct w:val="0"/>
        <w:autoSpaceDE/>
        <w:autoSpaceDN/>
        <w:bidi w:val="0"/>
        <w:adjustRightInd/>
        <w:snapToGrid/>
        <w:spacing w:line="480" w:lineRule="exact"/>
        <w:ind w:left="0" w:firstLine="562" w:firstLineChars="200"/>
        <w:jc w:val="both"/>
        <w:textAlignment w:val="auto"/>
        <w:rPr>
          <w:rFonts w:hint="eastAsia"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4.合同管理</w:t>
      </w:r>
    </w:p>
    <w:p w14:paraId="653C3CC6">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（1）全程监督承建单位合同履约情况，核查人员、服务、成果交付等履约落实情况；</w:t>
      </w:r>
    </w:p>
    <w:p w14:paraId="1691F8BA">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（2）协助采购人处理项目实施过程中出现的违约、延期、索赔、争议纠纷等事项，做好过程留痕与协调处置工作。</w:t>
      </w:r>
    </w:p>
    <w:p w14:paraId="74590135">
      <w:pPr>
        <w:keepNext w:val="0"/>
        <w:keepLines w:val="0"/>
        <w:pageBreakBefore w:val="0"/>
        <w:widowControl w:val="0"/>
        <w:kinsoku/>
        <w:wordWrap/>
        <w:overflowPunct/>
        <w:topLinePunct w:val="0"/>
        <w:autoSpaceDE/>
        <w:autoSpaceDN/>
        <w:bidi w:val="0"/>
        <w:adjustRightInd/>
        <w:snapToGrid/>
        <w:spacing w:line="480" w:lineRule="exact"/>
        <w:ind w:left="0" w:firstLine="562" w:firstLineChars="200"/>
        <w:jc w:val="both"/>
        <w:textAlignment w:val="auto"/>
        <w:rPr>
          <w:rFonts w:hint="eastAsia"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5.信息管理</w:t>
      </w:r>
    </w:p>
    <w:p w14:paraId="32E92595">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（1）定期编制项目管理文档、阶段性报告，及时向采购人报送项目动态及管理情况；</w:t>
      </w:r>
    </w:p>
    <w:p w14:paraId="71770E1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（2）督促、核查承建单位完成各阶段技术资料、设备资料、过程资料的整理、汇总与归档工作；</w:t>
      </w:r>
    </w:p>
    <w:p w14:paraId="70753B83">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（3）规范传递采购人各类指示、通知及业务文件，确保信息传达及时准确；</w:t>
      </w:r>
    </w:p>
    <w:p w14:paraId="7C2FD5CF">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（4）项目出现质量隐患、进度偏差等问题时，及时向采购人汇报并提出优化对策，督促承建单位限期整改落实。</w:t>
      </w:r>
    </w:p>
    <w:p w14:paraId="7FC0443A">
      <w:pPr>
        <w:keepNext w:val="0"/>
        <w:keepLines w:val="0"/>
        <w:pageBreakBefore w:val="0"/>
        <w:widowControl w:val="0"/>
        <w:kinsoku/>
        <w:wordWrap/>
        <w:overflowPunct/>
        <w:topLinePunct w:val="0"/>
        <w:autoSpaceDE/>
        <w:autoSpaceDN/>
        <w:bidi w:val="0"/>
        <w:adjustRightInd/>
        <w:snapToGrid/>
        <w:spacing w:line="480" w:lineRule="exact"/>
        <w:ind w:left="0" w:firstLine="562" w:firstLineChars="200"/>
        <w:jc w:val="both"/>
        <w:textAlignment w:val="auto"/>
        <w:rPr>
          <w:rFonts w:hint="eastAsia" w:ascii="方正仿宋_GBK" w:hAnsi="方正仿宋_GBK" w:eastAsia="方正仿宋_GBK" w:cs="方正仿宋_GBK"/>
          <w:b/>
          <w:bCs/>
          <w:color w:val="000000" w:themeColor="text1"/>
          <w:sz w:val="28"/>
          <w:szCs w:val="28"/>
          <w14:textFill>
            <w14:solidFill>
              <w14:schemeClr w14:val="tx1"/>
            </w14:solidFill>
          </w14:textFill>
        </w:rPr>
      </w:pPr>
      <w:r>
        <w:rPr>
          <w:rFonts w:hint="eastAsia" w:ascii="方正仿宋_GBK" w:hAnsi="方正仿宋_GBK" w:eastAsia="方正仿宋_GBK" w:cs="方正仿宋_GBK"/>
          <w:b/>
          <w:bCs/>
          <w:color w:val="000000" w:themeColor="text1"/>
          <w:sz w:val="28"/>
          <w:szCs w:val="28"/>
          <w14:textFill>
            <w14:solidFill>
              <w14:schemeClr w14:val="tx1"/>
            </w14:solidFill>
          </w14:textFill>
        </w:rPr>
        <w:t>6.组织协调</w:t>
      </w:r>
    </w:p>
    <w:p w14:paraId="32A72721">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（1）明确各参建单位工作范围与岗位职责，厘清项目工作边界；</w:t>
      </w:r>
    </w:p>
    <w:p w14:paraId="6DEA7648">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（2）监督各方履职尽责，统筹协调各参建单位工作衔接；</w:t>
      </w:r>
    </w:p>
    <w:p w14:paraId="62203B67">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default"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14:textFill>
            <w14:solidFill>
              <w14:schemeClr w14:val="tx1"/>
            </w14:solidFill>
          </w14:textFill>
        </w:rPr>
        <w:t>（3）建立常态化沟通机制，畅通项目信息流转渠道，及时协调解决项目实施过程中的各类问题，保障项目平稳推进。</w:t>
      </w:r>
    </w:p>
    <w:p w14:paraId="725728F0">
      <w:pPr>
        <w:keepNext w:val="0"/>
        <w:keepLines w:val="0"/>
        <w:pageBreakBefore w:val="0"/>
        <w:widowControl w:val="0"/>
        <w:kinsoku/>
        <w:wordWrap/>
        <w:overflowPunct/>
        <w:topLinePunct w:val="0"/>
        <w:autoSpaceDE/>
        <w:autoSpaceDN/>
        <w:bidi w:val="0"/>
        <w:adjustRightInd/>
        <w:snapToGrid/>
        <w:spacing w:before="0" w:beforeLines="50" w:line="480" w:lineRule="exact"/>
        <w:ind w:left="0" w:firstLine="640" w:firstLineChars="200"/>
        <w:jc w:val="both"/>
        <w:textAlignment w:val="auto"/>
        <w:outlineLvl w:val="0"/>
        <w:rPr>
          <w:rFonts w:hint="eastAsia" w:ascii="方正黑体_GBK" w:hAnsi="方正黑体_GBK" w:eastAsia="方正黑体_GBK" w:cs="方正黑体_GBK"/>
          <w:b w:val="0"/>
          <w:bCs/>
          <w:sz w:val="32"/>
          <w:szCs w:val="32"/>
        </w:rPr>
      </w:pPr>
      <w:r>
        <w:rPr>
          <w:rFonts w:hint="eastAsia" w:ascii="方正黑体_GBK" w:hAnsi="方正黑体_GBK" w:eastAsia="方正黑体_GBK" w:cs="方正黑体_GBK"/>
          <w:b w:val="0"/>
          <w:bCs/>
          <w:sz w:val="32"/>
          <w:szCs w:val="32"/>
        </w:rPr>
        <w:t>三、服务方式</w:t>
      </w:r>
      <w:bookmarkEnd w:id="2"/>
    </w:p>
    <w:p w14:paraId="468490FE">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本项目要求以现场项目管理为主的方式进行，同时在武汉的常设服务方有固定的工作场所和必要的办公、通讯条件、软硬件设备和交通工具，保证能正常地开展项目管理工作。</w:t>
      </w:r>
    </w:p>
    <w:p w14:paraId="71D840B0">
      <w:pPr>
        <w:keepNext w:val="0"/>
        <w:keepLines w:val="0"/>
        <w:pageBreakBefore w:val="0"/>
        <w:widowControl w:val="0"/>
        <w:kinsoku/>
        <w:wordWrap/>
        <w:overflowPunct/>
        <w:topLinePunct w:val="0"/>
        <w:autoSpaceDE/>
        <w:autoSpaceDN/>
        <w:bidi w:val="0"/>
        <w:adjustRightInd/>
        <w:snapToGrid/>
        <w:spacing w:before="0" w:beforeLines="50" w:line="480" w:lineRule="exact"/>
        <w:ind w:left="0" w:firstLine="640" w:firstLineChars="200"/>
        <w:jc w:val="both"/>
        <w:textAlignment w:val="auto"/>
        <w:outlineLvl w:val="0"/>
        <w:rPr>
          <w:rFonts w:hint="eastAsia" w:ascii="方正黑体_GBK" w:hAnsi="方正黑体_GBK" w:eastAsia="方正黑体_GBK" w:cs="方正黑体_GBK"/>
          <w:b w:val="0"/>
          <w:bCs/>
          <w:sz w:val="32"/>
          <w:szCs w:val="32"/>
        </w:rPr>
      </w:pPr>
      <w:bookmarkStart w:id="3" w:name="heading_19"/>
      <w:r>
        <w:rPr>
          <w:rFonts w:hint="eastAsia" w:ascii="方正黑体_GBK" w:hAnsi="方正黑体_GBK" w:eastAsia="方正黑体_GBK" w:cs="方正黑体_GBK"/>
          <w:b w:val="0"/>
          <w:bCs/>
          <w:sz w:val="32"/>
          <w:szCs w:val="32"/>
        </w:rPr>
        <w:t>四、服务团队人员要求</w:t>
      </w:r>
      <w:bookmarkEnd w:id="3"/>
    </w:p>
    <w:p w14:paraId="430ECF66">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sz w:val="28"/>
          <w:szCs w:val="28"/>
          <w:lang w:val="en-US" w:eastAsia="zh-CN"/>
        </w:rPr>
        <w:t>（一）本项目实行项目管理工程师负责制，项目负责人须持有计算机技术与软件专业技术资格证书，</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证书类型为信息系统项目管理师或信息系统监理师。</w:t>
      </w:r>
    </w:p>
    <w:p w14:paraId="33DAE143">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（二）项目管理团队人员资质要求</w:t>
      </w:r>
    </w:p>
    <w:p w14:paraId="6A85A36A">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1.除专职造价相关人员外，其余团队成员须持有计算机技术与软件专业技术资格证书，证书仅限信息系统项目管理师或信息系统监理师；造价审核、造价编制人员无需提供上述软考证书。</w:t>
      </w:r>
    </w:p>
    <w:p w14:paraId="69E2D569">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2.造价岗位资质标准：专职造价审核人员须持有一级注册造价工程师执业资格；造价编制人员须持有一级注册造价工程师执业资格或工业和信息化部教育与考试中心颁发的软件工程造价师证书。</w:t>
      </w:r>
    </w:p>
    <w:p w14:paraId="57342FAE">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lang w:val="en-US" w:eastAsia="zh-CN"/>
          <w14:textFill>
            <w14:solidFill>
              <w14:schemeClr w14:val="tx1"/>
            </w14:solidFill>
          </w14:textFill>
        </w:rPr>
        <w:t>3.人员数量要求：不含项目负责人，项目团队成员总人数不少于3人。</w:t>
      </w:r>
    </w:p>
    <w:p w14:paraId="26443ACF">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（三）成交供应商派驻的工程师必须与建设单位共同开展工作。</w:t>
      </w:r>
    </w:p>
    <w:p w14:paraId="50C61EFB">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四）项目管理成交供应商必须保证项目管理按双方协商确定的名单到位，常驻工程师必须专职从事本项目的项目管理工作。若需更换项目管理人员的，必须提前10个工作日书面报采购人批准后方可更换。因不可抗力因素导致项目管理人员发生变更的，成交供应商必须在10个工作日内书面通知采购人，经采购人同意后才可更换，替代人员必须具有与原人员相当或更高的资质和能力。采购人有权书面要求成交供应商撤换任何不称职的项目管理人员，更换人员必须具有与原人员相当或更高的资质和能力。</w:t>
      </w:r>
    </w:p>
    <w:p w14:paraId="351CBBFC">
      <w:pPr>
        <w:keepNext w:val="0"/>
        <w:keepLines w:val="0"/>
        <w:pageBreakBefore w:val="0"/>
        <w:widowControl w:val="0"/>
        <w:kinsoku/>
        <w:wordWrap/>
        <w:overflowPunct/>
        <w:topLinePunct w:val="0"/>
        <w:autoSpaceDE/>
        <w:autoSpaceDN/>
        <w:bidi w:val="0"/>
        <w:adjustRightInd/>
        <w:snapToGrid/>
        <w:spacing w:before="0" w:beforeLines="50" w:line="480" w:lineRule="exact"/>
        <w:ind w:left="0" w:firstLine="640" w:firstLineChars="200"/>
        <w:jc w:val="both"/>
        <w:textAlignment w:val="auto"/>
        <w:outlineLvl w:val="0"/>
        <w:rPr>
          <w:rFonts w:hint="eastAsia" w:ascii="方正黑体_GBK" w:hAnsi="方正黑体_GBK" w:eastAsia="方正黑体_GBK" w:cs="方正黑体_GBK"/>
          <w:b w:val="0"/>
          <w:bCs/>
          <w:sz w:val="32"/>
          <w:szCs w:val="32"/>
        </w:rPr>
      </w:pPr>
      <w:bookmarkStart w:id="4" w:name="heading_20"/>
      <w:r>
        <w:rPr>
          <w:rFonts w:hint="eastAsia" w:ascii="方正黑体_GBK" w:hAnsi="方正黑体_GBK" w:eastAsia="方正黑体_GBK" w:cs="方正黑体_GBK"/>
          <w:b w:val="0"/>
          <w:bCs/>
          <w:sz w:val="32"/>
          <w:szCs w:val="32"/>
        </w:rPr>
        <w:t>五、商务要求</w:t>
      </w:r>
      <w:bookmarkEnd w:id="4"/>
    </w:p>
    <w:p w14:paraId="1CD4D690">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outlineLvl w:val="1"/>
        <w:rPr>
          <w:rFonts w:hint="eastAsia" w:ascii="方正楷体_GBK" w:hAnsi="方正楷体_GBK" w:eastAsia="方正楷体_GBK" w:cs="方正楷体_GBK"/>
          <w:b w:val="0"/>
          <w:bCs/>
          <w:sz w:val="28"/>
          <w:szCs w:val="28"/>
        </w:rPr>
      </w:pPr>
      <w:bookmarkStart w:id="5" w:name="heading_21"/>
      <w:r>
        <w:rPr>
          <w:rFonts w:hint="eastAsia" w:ascii="方正楷体_GBK" w:hAnsi="方正楷体_GBK" w:eastAsia="方正楷体_GBK" w:cs="方正楷体_GBK"/>
          <w:b w:val="0"/>
          <w:bCs/>
          <w:sz w:val="28"/>
          <w:szCs w:val="28"/>
          <w:lang w:eastAsia="zh-CN"/>
        </w:rPr>
        <w:t>（一）</w:t>
      </w:r>
      <w:r>
        <w:rPr>
          <w:rFonts w:hint="eastAsia" w:ascii="方正楷体_GBK" w:hAnsi="方正楷体_GBK" w:eastAsia="方正楷体_GBK" w:cs="方正楷体_GBK"/>
          <w:b w:val="0"/>
          <w:bCs/>
          <w:sz w:val="28"/>
          <w:szCs w:val="28"/>
        </w:rPr>
        <w:t>报价要求</w:t>
      </w:r>
      <w:bookmarkEnd w:id="5"/>
    </w:p>
    <w:p w14:paraId="4C439308">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供应商报价须包含完成本项目全部管理服务内容所需的全部费用（含人工费、管理费、税金、交通费、食宿费、资料费等一切相关费用），本次总报价为全包式交钥匙总价。本采购需求未列明，但完成服务所必需的配套费用，均已包含在总报价内，采购人不再另行支付。服务履约全过程，人工成本上涨、人员调配等全部履约风险费用，均由供应商自行承担，采购人不予支付供应商未列明的项目费用，视同该部分费用已包含在总报价内，采购人不承担任何额外补差及新增费用。</w:t>
      </w:r>
    </w:p>
    <w:p w14:paraId="7B9C1577">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outlineLvl w:val="1"/>
        <w:rPr>
          <w:rFonts w:hint="eastAsia" w:ascii="方正楷体_GBK" w:hAnsi="方正楷体_GBK" w:eastAsia="方正楷体_GBK" w:cs="方正楷体_GBK"/>
          <w:b w:val="0"/>
          <w:bCs/>
          <w:sz w:val="28"/>
          <w:szCs w:val="28"/>
        </w:rPr>
      </w:pPr>
      <w:bookmarkStart w:id="6" w:name="heading_22"/>
      <w:r>
        <w:rPr>
          <w:rFonts w:hint="eastAsia" w:ascii="方正楷体_GBK" w:hAnsi="方正楷体_GBK" w:eastAsia="方正楷体_GBK" w:cs="方正楷体_GBK"/>
          <w:b w:val="0"/>
          <w:bCs/>
          <w:sz w:val="28"/>
          <w:szCs w:val="28"/>
          <w:lang w:eastAsia="zh-CN"/>
        </w:rPr>
        <w:t>（二）</w:t>
      </w:r>
      <w:r>
        <w:rPr>
          <w:rFonts w:hint="eastAsia" w:ascii="方正楷体_GBK" w:hAnsi="方正楷体_GBK" w:eastAsia="方正楷体_GBK" w:cs="方正楷体_GBK"/>
          <w:b w:val="0"/>
          <w:bCs/>
          <w:sz w:val="28"/>
          <w:szCs w:val="28"/>
        </w:rPr>
        <w:t>付款方式</w:t>
      </w:r>
      <w:bookmarkEnd w:id="6"/>
    </w:p>
    <w:p w14:paraId="1669A6D0">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项目付款根据财政资金拨付来源进度安排支付。</w:t>
      </w:r>
      <w:bookmarkStart w:id="7" w:name="3.7付款方式"/>
      <w:bookmarkEnd w:id="7"/>
      <w:bookmarkStart w:id="8" w:name="第四章 评标方法和标准"/>
      <w:bookmarkEnd w:id="8"/>
      <w:bookmarkStart w:id="9" w:name="3.7付款方式"/>
      <w:bookmarkEnd w:id="9"/>
    </w:p>
    <w:p w14:paraId="20FCB638">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outlineLvl w:val="1"/>
        <w:rPr>
          <w:rFonts w:hint="eastAsia" w:ascii="方正楷体_GBK" w:hAnsi="方正楷体_GBK" w:eastAsia="方正楷体_GBK" w:cs="方正楷体_GBK"/>
          <w:b w:val="0"/>
          <w:bCs/>
          <w:sz w:val="28"/>
          <w:szCs w:val="28"/>
          <w:lang w:eastAsia="zh-CN"/>
        </w:rPr>
      </w:pPr>
      <w:bookmarkStart w:id="10" w:name="heading_23"/>
      <w:r>
        <w:rPr>
          <w:rFonts w:hint="eastAsia" w:ascii="方正楷体_GBK" w:hAnsi="方正楷体_GBK" w:eastAsia="方正楷体_GBK" w:cs="方正楷体_GBK"/>
          <w:b w:val="0"/>
          <w:bCs/>
          <w:sz w:val="28"/>
          <w:szCs w:val="28"/>
          <w:lang w:eastAsia="zh-CN"/>
        </w:rPr>
        <w:t>（三）服务期限</w:t>
      </w:r>
      <w:bookmarkEnd w:id="10"/>
    </w:p>
    <w:p w14:paraId="39FCD3A4">
      <w:pPr>
        <w:keepNext w:val="0"/>
        <w:keepLines w:val="0"/>
        <w:pageBreakBefore w:val="0"/>
        <w:widowControl w:val="0"/>
        <w:kinsoku/>
        <w:wordWrap/>
        <w:overflowPunct/>
        <w:topLinePunct w:val="0"/>
        <w:autoSpaceDE/>
        <w:autoSpaceDN/>
        <w:bidi w:val="0"/>
        <w:adjustRightInd/>
        <w:snapToGrid/>
        <w:spacing w:line="480" w:lineRule="exact"/>
        <w:ind w:left="0" w:firstLine="560" w:firstLineChars="200"/>
        <w:jc w:val="both"/>
        <w:textAlignment w:val="auto"/>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本项目服务周期：自合同签订之日起，至项目通过验收，且供应商办结本项目结算审核全部工作为止。</w:t>
      </w:r>
      <w:bookmarkStart w:id="11" w:name="_GoBack"/>
      <w:bookmarkEnd w:id="11"/>
    </w:p>
    <w:sectPr>
      <w:footerReference r:id="rId3" w:type="default"/>
      <w:pgSz w:w="11905" w:h="16840"/>
      <w:pgMar w:top="2064" w:right="1800" w:bottom="195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imes New Roman"/>
    <w:panose1 w:val="020F0502020204030204"/>
    <w:charset w:val="00"/>
    <w:family w:val="swiss"/>
    <w:pitch w:val="default"/>
    <w:sig w:usb0="00000000" w:usb1="00000000" w:usb2="00000001" w:usb3="00000000" w:csb0="0000019F"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78E10">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A7CAC1">
                          <w:pPr>
                            <w:pStyle w:val="2"/>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66A7CAC1">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isplayHorizontalDrawingGridEvery w:val="1"/>
  <w:displayVerticalDrawingGridEvery w:val="1"/>
  <w:noPunctuationKerning w:val="1"/>
  <w:hdrShapeDefaults>
    <o:shapelayout v:ext="edit">
      <o:idmap v:ext="edit" data="3,4"/>
    </o:shapelayout>
  </w:hdrShapeDefaults>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3A0A80"/>
    <w:rsid w:val="066D6487"/>
    <w:rsid w:val="08CC4096"/>
    <w:rsid w:val="0913264A"/>
    <w:rsid w:val="0A650C83"/>
    <w:rsid w:val="0B121E78"/>
    <w:rsid w:val="0C3077CC"/>
    <w:rsid w:val="0CA84E57"/>
    <w:rsid w:val="11B83D8F"/>
    <w:rsid w:val="1E731769"/>
    <w:rsid w:val="1EF53F2C"/>
    <w:rsid w:val="20A976C4"/>
    <w:rsid w:val="21E53086"/>
    <w:rsid w:val="28453621"/>
    <w:rsid w:val="2CE46908"/>
    <w:rsid w:val="2E1662A0"/>
    <w:rsid w:val="2F8D7105"/>
    <w:rsid w:val="30980BBB"/>
    <w:rsid w:val="32CD6F61"/>
    <w:rsid w:val="34016B4A"/>
    <w:rsid w:val="37277ACA"/>
    <w:rsid w:val="38C904AC"/>
    <w:rsid w:val="3A385EE2"/>
    <w:rsid w:val="3D7824A0"/>
    <w:rsid w:val="3EC94FB3"/>
    <w:rsid w:val="3F512FA9"/>
    <w:rsid w:val="3F732F1F"/>
    <w:rsid w:val="404C3770"/>
    <w:rsid w:val="41390199"/>
    <w:rsid w:val="46E110B6"/>
    <w:rsid w:val="496B2EB9"/>
    <w:rsid w:val="49D767A1"/>
    <w:rsid w:val="4DB90697"/>
    <w:rsid w:val="570560DF"/>
    <w:rsid w:val="5E39312E"/>
    <w:rsid w:val="6057789C"/>
    <w:rsid w:val="609E0A40"/>
    <w:rsid w:val="61045C75"/>
    <w:rsid w:val="63E5684F"/>
    <w:rsid w:val="69715E72"/>
    <w:rsid w:val="6C475410"/>
    <w:rsid w:val="6CC8224D"/>
    <w:rsid w:val="6E971ED7"/>
    <w:rsid w:val="72660B80"/>
    <w:rsid w:val="74BF3F35"/>
    <w:rsid w:val="74C22008"/>
    <w:rsid w:val="750D31CC"/>
    <w:rsid w:val="78D90BC6"/>
    <w:rsid w:val="7B616756"/>
    <w:rsid w:val="7D27056C"/>
    <w:rsid w:val="BFE56305"/>
    <w:rsid w:val="FDAD7F64"/>
    <w:rsid w:val="FFF3CEAD"/>
    <w:rsid w:val="FFFFAF2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bidi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57344d-7448-43f9-b9ea-70981fd1f4e2}">
  <ds:schemaRefs/>
</ds:datastoreItem>
</file>

<file path=docProps/app.xml><?xml version="1.0" encoding="utf-8"?>
<Properties xmlns="http://schemas.openxmlformats.org/officeDocument/2006/extended-properties" xmlns:vt="http://schemas.openxmlformats.org/officeDocument/2006/docPropsVTypes">
  <Pages>5</Pages>
  <Words>2673</Words>
  <Characters>2711</Characters>
  <TotalTime>61</TotalTime>
  <ScaleCrop>false</ScaleCrop>
  <LinksUpToDate>false</LinksUpToDate>
  <CharactersWithSpaces>2714</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2026-06-17T09:43:00Z</dcterms:created>
  <dc:creator>Apache POI</dc:creator>
  <cp:lastModifiedBy>user37</cp:lastModifiedBy>
  <cp:lastPrinted>2026-06-30T10:41:21Z</cp:lastPrinted>
  <dcterms:modified xsi:type="dcterms:W3CDTF">2026-06-30T10:41:34Z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{"Label":"1","ContentProducer":"001191110102MACQD9K64010000","ProduceID":"7652050263386115014","ReservedCode1":"","ContentPropagator":"","PropagateID":"","ReservedCode2":""}</vt:lpwstr>
  </property>
  <property fmtid="{D5CDD505-2E9C-101B-9397-08002B2CF9AE}" pid="3" name="KSOTemplateDocerSaveRecord">
    <vt:lpwstr>eyJoZGlkIjoiNTRjY2M0MTIxZGIwYWY1YmIzMzg2NThjMTVjZmExNzEiLCJ1c2VySWQiOiIyNDg3MDQxMDMifQ==</vt:lpwstr>
  </property>
  <property fmtid="{D5CDD505-2E9C-101B-9397-08002B2CF9AE}" pid="4" name="KSOProductBuildVer">
    <vt:lpwstr>2052-12.1.2.23578</vt:lpwstr>
  </property>
  <property fmtid="{D5CDD505-2E9C-101B-9397-08002B2CF9AE}" pid="5" name="ICV">
    <vt:lpwstr>641D67D1CD116D9424FA316AD36FBADA_43</vt:lpwstr>
  </property>
</Properties>
</file>