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85A" w:rsidRDefault="008C5EAD">
      <w:pPr>
        <w:spacing w:after="400" w:line="640" w:lineRule="exact"/>
        <w:jc w:val="center"/>
        <w:rPr>
          <w:sz w:val="20"/>
          <w:szCs w:val="20"/>
          <w:lang w:eastAsia="zh-CN"/>
        </w:rPr>
      </w:pPr>
      <w:r>
        <w:rPr>
          <w:rFonts w:ascii="方正小标宋简体" w:eastAsia="方正小标宋简体" w:hAnsi="方正小标宋简体" w:cs="方正小标宋简体"/>
          <w:color w:val="000000"/>
          <w:sz w:val="36"/>
          <w:szCs w:val="20"/>
          <w:lang w:eastAsia="zh-CN"/>
        </w:rPr>
        <w:t>武汉市精神卫生中心信息机房设备续保服务项目采购需求</w:t>
      </w:r>
    </w:p>
    <w:p w:rsidR="0098285A" w:rsidRDefault="008C5EAD">
      <w:pPr>
        <w:spacing w:before="280" w:after="12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一、</w:t>
      </w:r>
      <w:r>
        <w:rPr>
          <w:rFonts w:ascii="仿宋" w:eastAsia="仿宋" w:hAnsi="仿宋" w:cs="仿宋" w:hint="eastAsia"/>
          <w:color w:val="000000"/>
          <w:sz w:val="24"/>
          <w:szCs w:val="20"/>
          <w:lang w:eastAsia="zh-CN"/>
        </w:rPr>
        <w:t>项目概况</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项目名称：</w:t>
      </w:r>
      <w:r>
        <w:rPr>
          <w:rFonts w:ascii="仿宋" w:eastAsia="仿宋" w:hAnsi="仿宋" w:cs="仿宋" w:hint="eastAsia"/>
          <w:color w:val="000000"/>
          <w:sz w:val="24"/>
          <w:szCs w:val="20"/>
          <w:lang w:eastAsia="zh-CN"/>
        </w:rPr>
        <w:t>武汉市精神卫生中心信息机房设备续保服务</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服务范围：</w:t>
      </w:r>
      <w:r>
        <w:rPr>
          <w:rFonts w:ascii="仿宋" w:eastAsia="仿宋" w:hAnsi="仿宋" w:cs="仿宋" w:hint="eastAsia"/>
          <w:color w:val="000000"/>
          <w:sz w:val="24"/>
          <w:szCs w:val="20"/>
          <w:lang w:eastAsia="zh-CN"/>
        </w:rPr>
        <w:t>中心六角亭院区、二七院区核心机房现役的</w:t>
      </w:r>
      <w:r>
        <w:rPr>
          <w:rFonts w:ascii="仿宋" w:eastAsia="仿宋" w:hAnsi="仿宋" w:cs="仿宋" w:hint="eastAsia"/>
          <w:color w:val="000000"/>
          <w:sz w:val="24"/>
          <w:szCs w:val="20"/>
          <w:lang w:eastAsia="zh-CN"/>
        </w:rPr>
        <w:t>17</w:t>
      </w:r>
      <w:r>
        <w:rPr>
          <w:rFonts w:ascii="仿宋" w:eastAsia="仿宋" w:hAnsi="仿宋" w:cs="仿宋" w:hint="eastAsia"/>
          <w:color w:val="000000"/>
          <w:sz w:val="24"/>
          <w:szCs w:val="20"/>
          <w:lang w:eastAsia="zh-CN"/>
        </w:rPr>
        <w:t>项关键基础设施及网络安全软硬件设备。主要包括外网出口安全网关（防火墙、</w:t>
      </w:r>
      <w:r>
        <w:rPr>
          <w:rFonts w:ascii="仿宋" w:eastAsia="仿宋" w:hAnsi="仿宋" w:cs="仿宋" w:hint="eastAsia"/>
          <w:color w:val="000000"/>
          <w:sz w:val="24"/>
          <w:szCs w:val="20"/>
          <w:lang w:eastAsia="zh-CN"/>
        </w:rPr>
        <w:t>IPS</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WAF</w:t>
      </w:r>
      <w:r>
        <w:rPr>
          <w:rFonts w:ascii="仿宋" w:eastAsia="仿宋" w:hAnsi="仿宋" w:cs="仿宋" w:hint="eastAsia"/>
          <w:color w:val="000000"/>
          <w:sz w:val="24"/>
          <w:szCs w:val="20"/>
          <w:lang w:eastAsia="zh-CN"/>
        </w:rPr>
        <w:t>）、内网核心服务器、数据库审计、日志审计、宏杉核心存储、世图兹精密空调、</w:t>
      </w:r>
      <w:r>
        <w:rPr>
          <w:rFonts w:ascii="仿宋" w:eastAsia="仿宋" w:hAnsi="仿宋" w:cs="仿宋" w:hint="eastAsia"/>
          <w:color w:val="000000"/>
          <w:sz w:val="24"/>
          <w:szCs w:val="20"/>
          <w:lang w:eastAsia="zh-CN"/>
        </w:rPr>
        <w:t>IMC</w:t>
      </w:r>
      <w:r>
        <w:rPr>
          <w:rFonts w:ascii="仿宋" w:eastAsia="仿宋" w:hAnsi="仿宋" w:cs="仿宋" w:hint="eastAsia"/>
          <w:color w:val="000000"/>
          <w:sz w:val="24"/>
          <w:szCs w:val="20"/>
          <w:lang w:eastAsia="zh-CN"/>
        </w:rPr>
        <w:t>认证系统、天擎终端杀毒、</w:t>
      </w:r>
      <w:r>
        <w:rPr>
          <w:rFonts w:ascii="仿宋" w:eastAsia="仿宋" w:hAnsi="仿宋" w:cs="仿宋" w:hint="eastAsia"/>
          <w:color w:val="000000"/>
          <w:sz w:val="24"/>
          <w:szCs w:val="20"/>
          <w:lang w:eastAsia="zh-CN"/>
        </w:rPr>
        <w:t>NOD32</w:t>
      </w:r>
      <w:r>
        <w:rPr>
          <w:rFonts w:ascii="仿宋" w:eastAsia="仿宋" w:hAnsi="仿宋" w:cs="仿宋" w:hint="eastAsia"/>
          <w:color w:val="000000"/>
          <w:sz w:val="24"/>
          <w:szCs w:val="20"/>
          <w:lang w:eastAsia="zh-CN"/>
        </w:rPr>
        <w:t>服务器杀毒、绿盟漏洞扫描、吉大正元签名服务器</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医保和卫生专网防火墙。</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服务期限：</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年（自合同签订生效之日起</w:t>
      </w:r>
      <w:r>
        <w:rPr>
          <w:rFonts w:ascii="仿宋" w:eastAsia="仿宋" w:hAnsi="仿宋" w:cs="仿宋" w:hint="eastAsia"/>
          <w:color w:val="000000"/>
          <w:sz w:val="24"/>
          <w:szCs w:val="20"/>
          <w:lang w:eastAsia="zh-CN"/>
        </w:rPr>
        <w:t>12</w:t>
      </w:r>
      <w:r>
        <w:rPr>
          <w:rFonts w:ascii="仿宋" w:eastAsia="仿宋" w:hAnsi="仿宋" w:cs="仿宋" w:hint="eastAsia"/>
          <w:color w:val="000000"/>
          <w:sz w:val="24"/>
          <w:szCs w:val="20"/>
          <w:lang w:eastAsia="zh-CN"/>
        </w:rPr>
        <w:t>个自然月）。本项目拟实行招一延二方式，首年为合同固定服务期，累计续签不超过</w:t>
      </w: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年，续签实行一年一签。服务期满，若中标人履约正常，能够持续提供原厂维保、备件更换、版本库升级等约定服务，无重大服务违约、无重大设备维保责任事故，方可续签服务合同。</w:t>
      </w:r>
    </w:p>
    <w:p w:rsidR="0098285A" w:rsidRDefault="008C5EAD">
      <w:pPr>
        <w:spacing w:before="280" w:after="12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二、</w:t>
      </w:r>
      <w:r>
        <w:rPr>
          <w:rFonts w:ascii="仿宋" w:eastAsia="仿宋" w:hAnsi="仿宋" w:cs="仿宋" w:hint="eastAsia"/>
          <w:color w:val="000000"/>
          <w:sz w:val="24"/>
          <w:szCs w:val="20"/>
          <w:lang w:eastAsia="zh-CN"/>
        </w:rPr>
        <w:t>采购内容</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本项目维保服务涵盖中心机房</w:t>
      </w:r>
      <w:r>
        <w:rPr>
          <w:rFonts w:ascii="仿宋" w:eastAsia="仿宋" w:hAnsi="仿宋" w:cs="仿宋" w:hint="eastAsia"/>
          <w:color w:val="000000"/>
          <w:sz w:val="24"/>
          <w:szCs w:val="20"/>
          <w:lang w:eastAsia="zh-CN"/>
        </w:rPr>
        <w:t>17</w:t>
      </w:r>
      <w:r>
        <w:rPr>
          <w:rFonts w:ascii="仿宋" w:eastAsia="仿宋" w:hAnsi="仿宋" w:cs="仿宋" w:hint="eastAsia"/>
          <w:color w:val="000000"/>
          <w:sz w:val="24"/>
          <w:szCs w:val="20"/>
          <w:lang w:eastAsia="zh-CN"/>
        </w:rPr>
        <w:t>项关键基础设施与网络安全设备，要求提供技术支持、硬件坏件更换、固件版本升级、安全规则库同步升级及应急抢修服务：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000"/>
        <w:gridCol w:w="4937"/>
        <w:gridCol w:w="1263"/>
      </w:tblGrid>
      <w:tr w:rsidR="0098285A">
        <w:trPr>
          <w:jc w:val="center"/>
        </w:trPr>
        <w:tc>
          <w:tcPr>
            <w:tcW w:w="720" w:type="dxa"/>
            <w:shd w:val="clear" w:color="auto" w:fill="F2F2F2"/>
            <w:tcMar>
              <w:top w:w="120" w:type="dxa"/>
              <w:left w:w="100" w:type="dxa"/>
              <w:bottom w:w="120" w:type="dxa"/>
              <w:right w:w="100" w:type="dxa"/>
            </w:tcMar>
            <w:vAlign w:val="center"/>
          </w:tcPr>
          <w:p w:rsidR="0098285A" w:rsidRDefault="008C5EAD">
            <w:pPr>
              <w:spacing w:after="0" w:line="380" w:lineRule="exact"/>
              <w:jc w:val="center"/>
              <w:rPr>
                <w:rFonts w:ascii="仿宋" w:eastAsia="仿宋" w:hAnsi="仿宋" w:cs="仿宋"/>
                <w:sz w:val="24"/>
                <w:szCs w:val="24"/>
              </w:rPr>
            </w:pPr>
            <w:r>
              <w:rPr>
                <w:rFonts w:ascii="仿宋" w:eastAsia="仿宋" w:hAnsi="仿宋" w:cs="仿宋" w:hint="eastAsia"/>
                <w:b/>
                <w:color w:val="000000"/>
                <w:sz w:val="24"/>
                <w:szCs w:val="24"/>
              </w:rPr>
              <w:t>序号</w:t>
            </w:r>
          </w:p>
        </w:tc>
        <w:tc>
          <w:tcPr>
            <w:tcW w:w="2000" w:type="dxa"/>
            <w:shd w:val="clear" w:color="auto" w:fill="F2F2F2"/>
            <w:tcMar>
              <w:top w:w="120" w:type="dxa"/>
              <w:left w:w="100" w:type="dxa"/>
              <w:bottom w:w="120" w:type="dxa"/>
              <w:right w:w="100" w:type="dxa"/>
            </w:tcMar>
            <w:vAlign w:val="center"/>
          </w:tcPr>
          <w:p w:rsidR="0098285A" w:rsidRDefault="008C5EAD">
            <w:pPr>
              <w:spacing w:after="0" w:line="380" w:lineRule="exact"/>
              <w:jc w:val="center"/>
              <w:rPr>
                <w:rFonts w:ascii="仿宋" w:eastAsia="仿宋" w:hAnsi="仿宋" w:cs="仿宋"/>
                <w:sz w:val="24"/>
                <w:szCs w:val="24"/>
              </w:rPr>
            </w:pPr>
            <w:r>
              <w:rPr>
                <w:rFonts w:ascii="仿宋" w:eastAsia="仿宋" w:hAnsi="仿宋" w:cs="仿宋" w:hint="eastAsia"/>
                <w:b/>
                <w:color w:val="000000"/>
                <w:sz w:val="24"/>
                <w:szCs w:val="24"/>
              </w:rPr>
              <w:t>设备类别</w:t>
            </w:r>
          </w:p>
        </w:tc>
        <w:tc>
          <w:tcPr>
            <w:tcW w:w="4937" w:type="dxa"/>
            <w:shd w:val="clear" w:color="auto" w:fill="F2F2F2"/>
            <w:tcMar>
              <w:top w:w="120" w:type="dxa"/>
              <w:left w:w="100" w:type="dxa"/>
              <w:bottom w:w="120" w:type="dxa"/>
              <w:right w:w="100" w:type="dxa"/>
            </w:tcMar>
            <w:vAlign w:val="center"/>
          </w:tcPr>
          <w:p w:rsidR="0098285A" w:rsidRDefault="008C5EAD">
            <w:pPr>
              <w:spacing w:after="0" w:line="380" w:lineRule="exact"/>
              <w:jc w:val="center"/>
              <w:rPr>
                <w:rFonts w:ascii="仿宋" w:eastAsia="仿宋" w:hAnsi="仿宋" w:cs="仿宋"/>
                <w:sz w:val="24"/>
                <w:szCs w:val="24"/>
              </w:rPr>
            </w:pPr>
            <w:r>
              <w:rPr>
                <w:rFonts w:ascii="仿宋" w:eastAsia="仿宋" w:hAnsi="仿宋" w:cs="仿宋" w:hint="eastAsia"/>
                <w:b/>
                <w:color w:val="000000"/>
                <w:sz w:val="24"/>
                <w:szCs w:val="24"/>
              </w:rPr>
              <w:t>品牌</w:t>
            </w:r>
            <w:r>
              <w:rPr>
                <w:rFonts w:ascii="仿宋" w:eastAsia="仿宋" w:hAnsi="仿宋" w:cs="仿宋" w:hint="eastAsia"/>
                <w:b/>
                <w:color w:val="000000"/>
                <w:sz w:val="24"/>
                <w:szCs w:val="24"/>
              </w:rPr>
              <w:t>/</w:t>
            </w:r>
            <w:r>
              <w:rPr>
                <w:rFonts w:ascii="仿宋" w:eastAsia="仿宋" w:hAnsi="仿宋" w:cs="仿宋" w:hint="eastAsia"/>
                <w:b/>
                <w:color w:val="000000"/>
                <w:sz w:val="24"/>
                <w:szCs w:val="24"/>
              </w:rPr>
              <w:t>规格型号</w:t>
            </w:r>
          </w:p>
        </w:tc>
        <w:tc>
          <w:tcPr>
            <w:tcW w:w="1263" w:type="dxa"/>
            <w:shd w:val="clear" w:color="auto" w:fill="F2F2F2"/>
            <w:tcMar>
              <w:top w:w="120" w:type="dxa"/>
              <w:left w:w="100" w:type="dxa"/>
              <w:bottom w:w="120" w:type="dxa"/>
              <w:right w:w="100" w:type="dxa"/>
            </w:tcMar>
            <w:vAlign w:val="center"/>
          </w:tcPr>
          <w:p w:rsidR="0098285A" w:rsidRDefault="008C5EAD">
            <w:pPr>
              <w:spacing w:after="0" w:line="380" w:lineRule="exact"/>
              <w:jc w:val="center"/>
              <w:rPr>
                <w:rFonts w:ascii="仿宋" w:eastAsia="仿宋" w:hAnsi="仿宋" w:cs="仿宋"/>
                <w:sz w:val="24"/>
                <w:szCs w:val="24"/>
              </w:rPr>
            </w:pPr>
            <w:r>
              <w:rPr>
                <w:rFonts w:ascii="仿宋" w:eastAsia="仿宋" w:hAnsi="仿宋" w:cs="仿宋" w:hint="eastAsia"/>
                <w:b/>
                <w:color w:val="000000"/>
                <w:sz w:val="24"/>
                <w:szCs w:val="24"/>
              </w:rPr>
              <w:t>续保期限</w:t>
            </w:r>
          </w:p>
        </w:tc>
      </w:tr>
      <w:tr w:rsidR="0098285A">
        <w:trPr>
          <w:jc w:val="center"/>
        </w:trPr>
        <w:tc>
          <w:tcPr>
            <w:tcW w:w="72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p>
        </w:tc>
        <w:tc>
          <w:tcPr>
            <w:tcW w:w="200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防火墙</w:t>
            </w:r>
          </w:p>
        </w:tc>
        <w:tc>
          <w:tcPr>
            <w:tcW w:w="4937" w:type="dxa"/>
            <w:shd w:val="clear" w:color="auto" w:fill="FFFFFF"/>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安恒</w:t>
            </w:r>
            <w:r>
              <w:rPr>
                <w:rFonts w:ascii="仿宋" w:eastAsia="仿宋" w:hAnsi="仿宋" w:cs="仿宋" w:hint="eastAsia"/>
                <w:color w:val="000000"/>
                <w:sz w:val="24"/>
                <w:szCs w:val="24"/>
              </w:rPr>
              <w:t>DAS-Gateway</w:t>
            </w:r>
            <w:r>
              <w:rPr>
                <w:rFonts w:ascii="仿宋" w:eastAsia="仿宋" w:hAnsi="仿宋" w:cs="仿宋" w:hint="eastAsia"/>
                <w:color w:val="000000"/>
                <w:sz w:val="24"/>
                <w:szCs w:val="24"/>
              </w:rPr>
              <w:t>（</w:t>
            </w:r>
            <w:r>
              <w:rPr>
                <w:rFonts w:ascii="仿宋" w:eastAsia="仿宋" w:hAnsi="仿宋" w:cs="仿宋" w:hint="eastAsia"/>
                <w:color w:val="000000"/>
                <w:sz w:val="24"/>
                <w:szCs w:val="24"/>
              </w:rPr>
              <w:t>DAS-NGFW1900</w:t>
            </w:r>
            <w:r>
              <w:rPr>
                <w:rFonts w:ascii="仿宋" w:eastAsia="仿宋" w:hAnsi="仿宋" w:cs="仿宋" w:hint="eastAsia"/>
                <w:color w:val="000000"/>
                <w:sz w:val="24"/>
                <w:szCs w:val="24"/>
              </w:rPr>
              <w:t>）</w:t>
            </w:r>
          </w:p>
        </w:tc>
        <w:tc>
          <w:tcPr>
            <w:tcW w:w="1263"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2</w:t>
            </w:r>
          </w:p>
        </w:tc>
        <w:tc>
          <w:tcPr>
            <w:tcW w:w="200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IPS</w:t>
            </w:r>
          </w:p>
        </w:tc>
        <w:tc>
          <w:tcPr>
            <w:tcW w:w="4937" w:type="dxa"/>
            <w:shd w:val="clear" w:color="auto" w:fill="FAFAFA"/>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安恒</w:t>
            </w:r>
            <w:r>
              <w:rPr>
                <w:rFonts w:ascii="仿宋" w:eastAsia="仿宋" w:hAnsi="仿宋" w:cs="仿宋" w:hint="eastAsia"/>
                <w:color w:val="000000"/>
                <w:sz w:val="24"/>
                <w:szCs w:val="24"/>
              </w:rPr>
              <w:t>DAS-Gateway</w:t>
            </w:r>
            <w:r>
              <w:rPr>
                <w:rFonts w:ascii="仿宋" w:eastAsia="仿宋" w:hAnsi="仿宋" w:cs="仿宋" w:hint="eastAsia"/>
                <w:color w:val="000000"/>
                <w:sz w:val="24"/>
                <w:szCs w:val="24"/>
              </w:rPr>
              <w:t>（</w:t>
            </w:r>
            <w:r>
              <w:rPr>
                <w:rFonts w:ascii="仿宋" w:eastAsia="仿宋" w:hAnsi="仿宋" w:cs="仿宋" w:hint="eastAsia"/>
                <w:color w:val="000000"/>
                <w:sz w:val="24"/>
                <w:szCs w:val="24"/>
              </w:rPr>
              <w:t>DAS-IPS1900</w:t>
            </w:r>
            <w:r>
              <w:rPr>
                <w:rFonts w:ascii="仿宋" w:eastAsia="仿宋" w:hAnsi="仿宋" w:cs="仿宋" w:hint="eastAsia"/>
                <w:color w:val="000000"/>
                <w:sz w:val="24"/>
                <w:szCs w:val="24"/>
              </w:rPr>
              <w:t>）</w:t>
            </w:r>
          </w:p>
        </w:tc>
        <w:tc>
          <w:tcPr>
            <w:tcW w:w="1263"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3</w:t>
            </w:r>
          </w:p>
        </w:tc>
        <w:tc>
          <w:tcPr>
            <w:tcW w:w="200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WEB</w:t>
            </w:r>
            <w:r>
              <w:rPr>
                <w:rFonts w:ascii="仿宋" w:eastAsia="仿宋" w:hAnsi="仿宋" w:cs="仿宋" w:hint="eastAsia"/>
                <w:color w:val="000000"/>
                <w:sz w:val="24"/>
                <w:szCs w:val="24"/>
              </w:rPr>
              <w:t>应用防火墙</w:t>
            </w:r>
          </w:p>
        </w:tc>
        <w:tc>
          <w:tcPr>
            <w:tcW w:w="4937" w:type="dxa"/>
            <w:shd w:val="clear" w:color="auto" w:fill="FFFFFF"/>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安恒</w:t>
            </w:r>
            <w:r>
              <w:rPr>
                <w:rFonts w:ascii="仿宋" w:eastAsia="仿宋" w:hAnsi="仿宋" w:cs="仿宋" w:hint="eastAsia"/>
                <w:color w:val="000000"/>
                <w:sz w:val="24"/>
                <w:szCs w:val="24"/>
              </w:rPr>
              <w:t>WAF-V3</w:t>
            </w:r>
            <w:r>
              <w:rPr>
                <w:rFonts w:ascii="仿宋" w:eastAsia="仿宋" w:hAnsi="仿宋" w:cs="仿宋" w:hint="eastAsia"/>
                <w:color w:val="000000"/>
                <w:sz w:val="24"/>
                <w:szCs w:val="24"/>
              </w:rPr>
              <w:t>（</w:t>
            </w:r>
            <w:r>
              <w:rPr>
                <w:rFonts w:ascii="仿宋" w:eastAsia="仿宋" w:hAnsi="仿宋" w:cs="仿宋" w:hint="eastAsia"/>
                <w:color w:val="000000"/>
                <w:sz w:val="24"/>
                <w:szCs w:val="24"/>
              </w:rPr>
              <w:t>WAF-1000AG</w:t>
            </w:r>
            <w:r>
              <w:rPr>
                <w:rFonts w:ascii="仿宋" w:eastAsia="仿宋" w:hAnsi="仿宋" w:cs="仿宋" w:hint="eastAsia"/>
                <w:color w:val="000000"/>
                <w:sz w:val="24"/>
                <w:szCs w:val="24"/>
              </w:rPr>
              <w:t>）</w:t>
            </w:r>
          </w:p>
        </w:tc>
        <w:tc>
          <w:tcPr>
            <w:tcW w:w="1263"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lastRenderedPageBreak/>
              <w:t>4</w:t>
            </w:r>
          </w:p>
        </w:tc>
        <w:tc>
          <w:tcPr>
            <w:tcW w:w="200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防火墙</w:t>
            </w:r>
            <w:r>
              <w:rPr>
                <w:rFonts w:ascii="仿宋" w:eastAsia="仿宋" w:hAnsi="仿宋" w:cs="仿宋" w:hint="eastAsia"/>
                <w:color w:val="000000"/>
                <w:sz w:val="24"/>
                <w:szCs w:val="24"/>
              </w:rPr>
              <w:t>-1</w:t>
            </w:r>
          </w:p>
        </w:tc>
        <w:tc>
          <w:tcPr>
            <w:tcW w:w="4937" w:type="dxa"/>
            <w:shd w:val="clear" w:color="auto" w:fill="FAFAFA"/>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明御安全网关</w:t>
            </w:r>
            <w:r>
              <w:rPr>
                <w:rFonts w:ascii="仿宋" w:eastAsia="仿宋" w:hAnsi="仿宋" w:cs="仿宋" w:hint="eastAsia"/>
                <w:color w:val="000000"/>
                <w:sz w:val="24"/>
                <w:szCs w:val="24"/>
              </w:rPr>
              <w:t>DAS-NGFW2900</w:t>
            </w:r>
          </w:p>
        </w:tc>
        <w:tc>
          <w:tcPr>
            <w:tcW w:w="1263"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5</w:t>
            </w:r>
          </w:p>
        </w:tc>
        <w:tc>
          <w:tcPr>
            <w:tcW w:w="200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防火墙</w:t>
            </w:r>
            <w:r>
              <w:rPr>
                <w:rFonts w:ascii="仿宋" w:eastAsia="仿宋" w:hAnsi="仿宋" w:cs="仿宋" w:hint="eastAsia"/>
                <w:color w:val="000000"/>
                <w:sz w:val="24"/>
                <w:szCs w:val="24"/>
              </w:rPr>
              <w:t>-2</w:t>
            </w:r>
          </w:p>
        </w:tc>
        <w:tc>
          <w:tcPr>
            <w:tcW w:w="4937" w:type="dxa"/>
            <w:shd w:val="clear" w:color="auto" w:fill="FFFFFF"/>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明御安全网关</w:t>
            </w:r>
            <w:r>
              <w:rPr>
                <w:rFonts w:ascii="仿宋" w:eastAsia="仿宋" w:hAnsi="仿宋" w:cs="仿宋" w:hint="eastAsia"/>
                <w:color w:val="000000"/>
                <w:sz w:val="24"/>
                <w:szCs w:val="24"/>
              </w:rPr>
              <w:t>DAS-NGFW2900</w:t>
            </w:r>
          </w:p>
        </w:tc>
        <w:tc>
          <w:tcPr>
            <w:tcW w:w="1263"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6</w:t>
            </w:r>
          </w:p>
        </w:tc>
        <w:tc>
          <w:tcPr>
            <w:tcW w:w="200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数据库审计</w:t>
            </w:r>
          </w:p>
        </w:tc>
        <w:tc>
          <w:tcPr>
            <w:tcW w:w="4937" w:type="dxa"/>
            <w:shd w:val="clear" w:color="auto" w:fill="FAFAFA"/>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安恒</w:t>
            </w:r>
            <w:r>
              <w:rPr>
                <w:rFonts w:ascii="仿宋" w:eastAsia="仿宋" w:hAnsi="仿宋" w:cs="仿宋" w:hint="eastAsia"/>
                <w:color w:val="000000"/>
                <w:sz w:val="24"/>
                <w:szCs w:val="24"/>
              </w:rPr>
              <w:t>DAS-DBAuditor</w:t>
            </w:r>
            <w:r>
              <w:rPr>
                <w:rFonts w:ascii="仿宋" w:eastAsia="仿宋" w:hAnsi="仿宋" w:cs="仿宋" w:hint="eastAsia"/>
                <w:color w:val="000000"/>
                <w:sz w:val="24"/>
                <w:szCs w:val="24"/>
              </w:rPr>
              <w:t>（</w:t>
            </w:r>
            <w:r>
              <w:rPr>
                <w:rFonts w:ascii="仿宋" w:eastAsia="仿宋" w:hAnsi="仿宋" w:cs="仿宋" w:hint="eastAsia"/>
                <w:color w:val="000000"/>
                <w:sz w:val="24"/>
                <w:szCs w:val="24"/>
              </w:rPr>
              <w:t>DAS-A500</w:t>
            </w:r>
            <w:r>
              <w:rPr>
                <w:rFonts w:ascii="仿宋" w:eastAsia="仿宋" w:hAnsi="仿宋" w:cs="仿宋" w:hint="eastAsia"/>
                <w:color w:val="000000"/>
                <w:sz w:val="24"/>
                <w:szCs w:val="24"/>
              </w:rPr>
              <w:t>）</w:t>
            </w:r>
          </w:p>
        </w:tc>
        <w:tc>
          <w:tcPr>
            <w:tcW w:w="1263"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7</w:t>
            </w:r>
          </w:p>
        </w:tc>
        <w:tc>
          <w:tcPr>
            <w:tcW w:w="200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日志审计</w:t>
            </w:r>
          </w:p>
        </w:tc>
        <w:tc>
          <w:tcPr>
            <w:tcW w:w="4937" w:type="dxa"/>
            <w:shd w:val="clear" w:color="auto" w:fill="FFFFFF"/>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安恒</w:t>
            </w:r>
            <w:r>
              <w:rPr>
                <w:rFonts w:ascii="仿宋" w:eastAsia="仿宋" w:hAnsi="仿宋" w:cs="仿宋" w:hint="eastAsia"/>
                <w:color w:val="000000"/>
                <w:sz w:val="24"/>
                <w:szCs w:val="24"/>
              </w:rPr>
              <w:t>DAS-Logger</w:t>
            </w:r>
            <w:r>
              <w:rPr>
                <w:rFonts w:ascii="仿宋" w:eastAsia="仿宋" w:hAnsi="仿宋" w:cs="仿宋" w:hint="eastAsia"/>
                <w:color w:val="000000"/>
                <w:sz w:val="24"/>
                <w:szCs w:val="24"/>
              </w:rPr>
              <w:t>（</w:t>
            </w:r>
            <w:r>
              <w:rPr>
                <w:rFonts w:ascii="仿宋" w:eastAsia="仿宋" w:hAnsi="仿宋" w:cs="仿宋" w:hint="eastAsia"/>
                <w:color w:val="000000"/>
                <w:sz w:val="24"/>
                <w:szCs w:val="24"/>
              </w:rPr>
              <w:t>DAS-LOG-1000</w:t>
            </w:r>
            <w:r>
              <w:rPr>
                <w:rFonts w:ascii="仿宋" w:eastAsia="仿宋" w:hAnsi="仿宋" w:cs="仿宋" w:hint="eastAsia"/>
                <w:color w:val="000000"/>
                <w:sz w:val="24"/>
                <w:szCs w:val="24"/>
              </w:rPr>
              <w:t>）</w:t>
            </w:r>
          </w:p>
        </w:tc>
        <w:tc>
          <w:tcPr>
            <w:tcW w:w="1263"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8</w:t>
            </w:r>
          </w:p>
        </w:tc>
        <w:tc>
          <w:tcPr>
            <w:tcW w:w="200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宏杉存储</w:t>
            </w:r>
          </w:p>
        </w:tc>
        <w:tc>
          <w:tcPr>
            <w:tcW w:w="4937" w:type="dxa"/>
            <w:shd w:val="clear" w:color="auto" w:fill="FAFAFA"/>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宏杉</w:t>
            </w:r>
            <w:r>
              <w:rPr>
                <w:rFonts w:ascii="仿宋" w:eastAsia="仿宋" w:hAnsi="仿宋" w:cs="仿宋" w:hint="eastAsia"/>
                <w:color w:val="000000"/>
                <w:sz w:val="24"/>
                <w:szCs w:val="24"/>
              </w:rPr>
              <w:t>MS2500G2-25E</w:t>
            </w:r>
          </w:p>
        </w:tc>
        <w:tc>
          <w:tcPr>
            <w:tcW w:w="1263"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9</w:t>
            </w:r>
          </w:p>
        </w:tc>
        <w:tc>
          <w:tcPr>
            <w:tcW w:w="200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认证系统</w:t>
            </w:r>
          </w:p>
        </w:tc>
        <w:tc>
          <w:tcPr>
            <w:tcW w:w="4937" w:type="dxa"/>
            <w:shd w:val="clear" w:color="auto" w:fill="FFFFFF"/>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H3CiMC</w:t>
            </w:r>
            <w:r>
              <w:rPr>
                <w:rFonts w:ascii="仿宋" w:eastAsia="仿宋" w:hAnsi="仿宋" w:cs="仿宋" w:hint="eastAsia"/>
                <w:color w:val="000000"/>
                <w:sz w:val="24"/>
                <w:szCs w:val="24"/>
              </w:rPr>
              <w:t>智能管理平台</w:t>
            </w:r>
          </w:p>
        </w:tc>
        <w:tc>
          <w:tcPr>
            <w:tcW w:w="1263"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10</w:t>
            </w:r>
          </w:p>
        </w:tc>
        <w:tc>
          <w:tcPr>
            <w:tcW w:w="200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空调系统</w:t>
            </w:r>
          </w:p>
        </w:tc>
        <w:tc>
          <w:tcPr>
            <w:tcW w:w="4937" w:type="dxa"/>
            <w:shd w:val="clear" w:color="auto" w:fill="FAFAFA"/>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世图兹精密空调</w:t>
            </w:r>
            <w:r>
              <w:rPr>
                <w:rFonts w:ascii="仿宋" w:eastAsia="仿宋" w:hAnsi="仿宋" w:cs="仿宋" w:hint="eastAsia"/>
                <w:color w:val="000000"/>
                <w:sz w:val="24"/>
                <w:szCs w:val="24"/>
              </w:rPr>
              <w:t>CZD402A</w:t>
            </w:r>
          </w:p>
        </w:tc>
        <w:tc>
          <w:tcPr>
            <w:tcW w:w="1263"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11</w:t>
            </w:r>
          </w:p>
        </w:tc>
        <w:tc>
          <w:tcPr>
            <w:tcW w:w="200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终端杀毒软件</w:t>
            </w:r>
          </w:p>
        </w:tc>
        <w:tc>
          <w:tcPr>
            <w:tcW w:w="4937" w:type="dxa"/>
            <w:shd w:val="clear" w:color="auto" w:fill="FFFFFF"/>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lang w:eastAsia="zh-CN"/>
              </w:rPr>
            </w:pPr>
            <w:r>
              <w:rPr>
                <w:rFonts w:ascii="仿宋" w:eastAsia="仿宋" w:hAnsi="仿宋" w:cs="仿宋" w:hint="eastAsia"/>
                <w:color w:val="000000"/>
                <w:sz w:val="24"/>
                <w:szCs w:val="24"/>
                <w:lang w:eastAsia="zh-CN"/>
              </w:rPr>
              <w:t>奇安信天擎终端安全管理系统（</w:t>
            </w:r>
            <w:r>
              <w:rPr>
                <w:rFonts w:ascii="仿宋" w:eastAsia="仿宋" w:hAnsi="仿宋" w:cs="仿宋" w:hint="eastAsia"/>
                <w:color w:val="000000"/>
                <w:sz w:val="24"/>
                <w:szCs w:val="24"/>
                <w:lang w:eastAsia="zh-CN"/>
              </w:rPr>
              <w:t>400</w:t>
            </w:r>
            <w:r>
              <w:rPr>
                <w:rFonts w:ascii="仿宋" w:eastAsia="仿宋" w:hAnsi="仿宋" w:cs="仿宋" w:hint="eastAsia"/>
                <w:color w:val="000000"/>
                <w:sz w:val="24"/>
                <w:szCs w:val="24"/>
                <w:lang w:eastAsia="zh-CN"/>
              </w:rPr>
              <w:t>点）</w:t>
            </w:r>
          </w:p>
        </w:tc>
        <w:tc>
          <w:tcPr>
            <w:tcW w:w="1263"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12</w:t>
            </w:r>
          </w:p>
        </w:tc>
        <w:tc>
          <w:tcPr>
            <w:tcW w:w="200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漏洞扫描系统</w:t>
            </w:r>
          </w:p>
        </w:tc>
        <w:tc>
          <w:tcPr>
            <w:tcW w:w="4937" w:type="dxa"/>
            <w:shd w:val="clear" w:color="auto" w:fill="FAFAFA"/>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绿盟</w:t>
            </w:r>
            <w:r>
              <w:rPr>
                <w:rFonts w:ascii="仿宋" w:eastAsia="仿宋" w:hAnsi="仿宋" w:cs="仿宋" w:hint="eastAsia"/>
                <w:color w:val="000000"/>
                <w:sz w:val="24"/>
                <w:szCs w:val="24"/>
              </w:rPr>
              <w:t>RSASNX3-S</w:t>
            </w:r>
          </w:p>
        </w:tc>
        <w:tc>
          <w:tcPr>
            <w:tcW w:w="1263"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13</w:t>
            </w:r>
          </w:p>
        </w:tc>
        <w:tc>
          <w:tcPr>
            <w:tcW w:w="200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签名服务器</w:t>
            </w:r>
          </w:p>
        </w:tc>
        <w:tc>
          <w:tcPr>
            <w:tcW w:w="4937" w:type="dxa"/>
            <w:shd w:val="clear" w:color="auto" w:fill="FFFFFF"/>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lang w:eastAsia="zh-CN"/>
              </w:rPr>
            </w:pPr>
            <w:r>
              <w:rPr>
                <w:rFonts w:ascii="仿宋" w:eastAsia="仿宋" w:hAnsi="仿宋" w:cs="仿宋" w:hint="eastAsia"/>
                <w:color w:val="000000"/>
                <w:sz w:val="24"/>
                <w:szCs w:val="24"/>
                <w:lang w:eastAsia="zh-CN"/>
              </w:rPr>
              <w:t>吉大正元电子票据签名服务器</w:t>
            </w:r>
            <w:r>
              <w:rPr>
                <w:rFonts w:ascii="仿宋" w:eastAsia="仿宋" w:hAnsi="仿宋" w:cs="仿宋" w:hint="eastAsia"/>
                <w:color w:val="000000"/>
                <w:sz w:val="24"/>
                <w:szCs w:val="24"/>
                <w:lang w:eastAsia="zh-CN"/>
              </w:rPr>
              <w:t>V3000-C-P</w:t>
            </w:r>
          </w:p>
        </w:tc>
        <w:tc>
          <w:tcPr>
            <w:tcW w:w="1263"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14</w:t>
            </w:r>
          </w:p>
        </w:tc>
        <w:tc>
          <w:tcPr>
            <w:tcW w:w="200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服务器防病毒</w:t>
            </w:r>
          </w:p>
        </w:tc>
        <w:tc>
          <w:tcPr>
            <w:tcW w:w="4937" w:type="dxa"/>
            <w:shd w:val="clear" w:color="auto" w:fill="FAFAFA"/>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lang w:eastAsia="zh-CN"/>
              </w:rPr>
            </w:pPr>
            <w:r>
              <w:rPr>
                <w:rFonts w:ascii="仿宋" w:eastAsia="仿宋" w:hAnsi="仿宋" w:cs="仿宋" w:hint="eastAsia"/>
                <w:color w:val="000000"/>
                <w:sz w:val="24"/>
                <w:szCs w:val="24"/>
                <w:lang w:eastAsia="zh-CN"/>
              </w:rPr>
              <w:t>ESETNOD32</w:t>
            </w:r>
            <w:r>
              <w:rPr>
                <w:rFonts w:ascii="仿宋" w:eastAsia="仿宋" w:hAnsi="仿宋" w:cs="仿宋" w:hint="eastAsia"/>
                <w:color w:val="000000"/>
                <w:sz w:val="24"/>
                <w:szCs w:val="24"/>
                <w:lang w:eastAsia="zh-CN"/>
              </w:rPr>
              <w:t>服务器版防护软件（</w:t>
            </w:r>
            <w:r>
              <w:rPr>
                <w:rFonts w:ascii="仿宋" w:eastAsia="仿宋" w:hAnsi="仿宋" w:cs="仿宋" w:hint="eastAsia"/>
                <w:color w:val="000000"/>
                <w:sz w:val="24"/>
                <w:szCs w:val="24"/>
                <w:lang w:eastAsia="zh-CN"/>
              </w:rPr>
              <w:t>30</w:t>
            </w:r>
            <w:r>
              <w:rPr>
                <w:rFonts w:ascii="仿宋" w:eastAsia="仿宋" w:hAnsi="仿宋" w:cs="仿宋" w:hint="eastAsia"/>
                <w:color w:val="000000"/>
                <w:sz w:val="24"/>
                <w:szCs w:val="24"/>
                <w:lang w:eastAsia="zh-CN"/>
              </w:rPr>
              <w:t>点）</w:t>
            </w:r>
          </w:p>
        </w:tc>
        <w:tc>
          <w:tcPr>
            <w:tcW w:w="1263"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15</w:t>
            </w:r>
          </w:p>
        </w:tc>
        <w:tc>
          <w:tcPr>
            <w:tcW w:w="200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医保防火墙</w:t>
            </w:r>
          </w:p>
        </w:tc>
        <w:tc>
          <w:tcPr>
            <w:tcW w:w="4937" w:type="dxa"/>
            <w:shd w:val="clear" w:color="auto" w:fill="FFFFFF"/>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黑盾</w:t>
            </w:r>
            <w:r>
              <w:rPr>
                <w:rFonts w:ascii="仿宋" w:eastAsia="仿宋" w:hAnsi="仿宋" w:cs="仿宋" w:hint="eastAsia"/>
                <w:color w:val="000000"/>
                <w:sz w:val="24"/>
                <w:szCs w:val="24"/>
              </w:rPr>
              <w:t>V3.5/HD-FW-SX-6S02</w:t>
            </w:r>
          </w:p>
        </w:tc>
        <w:tc>
          <w:tcPr>
            <w:tcW w:w="1263"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16</w:t>
            </w:r>
          </w:p>
        </w:tc>
        <w:tc>
          <w:tcPr>
            <w:tcW w:w="2000"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卫生专网防火墙</w:t>
            </w:r>
          </w:p>
        </w:tc>
        <w:tc>
          <w:tcPr>
            <w:tcW w:w="4937" w:type="dxa"/>
            <w:shd w:val="clear" w:color="auto" w:fill="FAFAFA"/>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黑盾</w:t>
            </w:r>
            <w:r>
              <w:rPr>
                <w:rFonts w:ascii="仿宋" w:eastAsia="仿宋" w:hAnsi="仿宋" w:cs="仿宋" w:hint="eastAsia"/>
                <w:color w:val="000000"/>
                <w:sz w:val="24"/>
                <w:szCs w:val="24"/>
              </w:rPr>
              <w:t>V3.5/HD-FW-SX-6S02</w:t>
            </w:r>
          </w:p>
        </w:tc>
        <w:tc>
          <w:tcPr>
            <w:tcW w:w="1263" w:type="dxa"/>
            <w:shd w:val="clear" w:color="auto" w:fill="FAFAFA"/>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98285A">
        <w:trPr>
          <w:jc w:val="center"/>
        </w:trPr>
        <w:tc>
          <w:tcPr>
            <w:tcW w:w="72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17</w:t>
            </w:r>
          </w:p>
        </w:tc>
        <w:tc>
          <w:tcPr>
            <w:tcW w:w="2000"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六角医保防火墙</w:t>
            </w:r>
          </w:p>
        </w:tc>
        <w:tc>
          <w:tcPr>
            <w:tcW w:w="4937" w:type="dxa"/>
            <w:shd w:val="clear" w:color="auto" w:fill="FFFFFF"/>
            <w:tcMar>
              <w:top w:w="100" w:type="dxa"/>
              <w:left w:w="100" w:type="dxa"/>
              <w:bottom w:w="100" w:type="dxa"/>
              <w:right w:w="100" w:type="dxa"/>
            </w:tcMar>
          </w:tcPr>
          <w:p w:rsidR="0098285A" w:rsidRDefault="008C5EAD">
            <w:pPr>
              <w:spacing w:after="0" w:line="340" w:lineRule="exact"/>
              <w:rPr>
                <w:rFonts w:ascii="仿宋" w:eastAsia="仿宋" w:hAnsi="仿宋" w:cs="仿宋"/>
                <w:sz w:val="24"/>
                <w:szCs w:val="24"/>
              </w:rPr>
            </w:pPr>
            <w:r>
              <w:rPr>
                <w:rFonts w:ascii="仿宋" w:eastAsia="仿宋" w:hAnsi="仿宋" w:cs="仿宋" w:hint="eastAsia"/>
                <w:color w:val="000000"/>
                <w:sz w:val="24"/>
                <w:szCs w:val="24"/>
              </w:rPr>
              <w:t>黑盾</w:t>
            </w:r>
            <w:r>
              <w:rPr>
                <w:rFonts w:ascii="仿宋" w:eastAsia="仿宋" w:hAnsi="仿宋" w:cs="仿宋" w:hint="eastAsia"/>
                <w:color w:val="000000"/>
                <w:sz w:val="24"/>
                <w:szCs w:val="24"/>
              </w:rPr>
              <w:t>V3.5/HD-FW-E3-5S02-A</w:t>
            </w:r>
          </w:p>
        </w:tc>
        <w:tc>
          <w:tcPr>
            <w:tcW w:w="1263" w:type="dxa"/>
            <w:shd w:val="clear" w:color="auto" w:fill="FFFFFF"/>
            <w:tcMar>
              <w:top w:w="100" w:type="dxa"/>
              <w:left w:w="100" w:type="dxa"/>
              <w:bottom w:w="100" w:type="dxa"/>
              <w:right w:w="100" w:type="dxa"/>
            </w:tcMar>
          </w:tcPr>
          <w:p w:rsidR="0098285A" w:rsidRDefault="008C5EAD">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bl>
    <w:p w:rsidR="0098285A" w:rsidRDefault="008C5EAD">
      <w:pPr>
        <w:spacing w:before="280" w:after="120" w:line="560" w:lineRule="exact"/>
        <w:ind w:firstLine="640"/>
        <w:rPr>
          <w:rFonts w:ascii="仿宋" w:eastAsia="仿宋" w:hAnsi="仿宋" w:cs="仿宋"/>
          <w:sz w:val="20"/>
          <w:szCs w:val="20"/>
        </w:rPr>
      </w:pPr>
      <w:r>
        <w:rPr>
          <w:rFonts w:ascii="仿宋" w:eastAsia="仿宋" w:hAnsi="仿宋" w:cs="仿宋" w:hint="eastAsia"/>
          <w:color w:val="000000"/>
          <w:sz w:val="24"/>
          <w:szCs w:val="20"/>
          <w:lang w:eastAsia="zh-CN"/>
        </w:rPr>
        <w:t>三、</w:t>
      </w:r>
      <w:r>
        <w:rPr>
          <w:rFonts w:ascii="仿宋" w:eastAsia="仿宋" w:hAnsi="仿宋" w:cs="仿宋" w:hint="eastAsia"/>
          <w:color w:val="000000"/>
          <w:sz w:val="24"/>
          <w:szCs w:val="20"/>
        </w:rPr>
        <w:t>技术</w:t>
      </w:r>
      <w:r>
        <w:rPr>
          <w:rFonts w:ascii="仿宋" w:eastAsia="仿宋" w:hAnsi="仿宋" w:cs="仿宋" w:hint="eastAsia"/>
          <w:color w:val="000000"/>
          <w:sz w:val="24"/>
          <w:szCs w:val="20"/>
        </w:rPr>
        <w:t>/</w:t>
      </w:r>
      <w:r>
        <w:rPr>
          <w:rFonts w:ascii="仿宋" w:eastAsia="仿宋" w:hAnsi="仿宋" w:cs="仿宋" w:hint="eastAsia"/>
          <w:color w:val="000000"/>
          <w:sz w:val="24"/>
          <w:szCs w:val="20"/>
        </w:rPr>
        <w:t>服务要求</w:t>
      </w:r>
    </w:p>
    <w:p w:rsidR="0098285A" w:rsidRDefault="008C5EAD">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（一）人员及专业团队配置要求</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专属团队组建：投标人须组建专属项目维保团队，团队成员需具备网络、安全、存储、系统等复合专业技能。所有拟派人员须在投标文件中提供个人简历、资质证书及开标前近</w:t>
      </w:r>
      <w:r>
        <w:rPr>
          <w:rFonts w:ascii="仿宋" w:eastAsia="仿宋" w:hAnsi="仿宋" w:cs="仿宋" w:hint="eastAsia"/>
          <w:color w:val="000000"/>
          <w:sz w:val="24"/>
          <w:szCs w:val="20"/>
          <w:lang w:eastAsia="zh-CN"/>
        </w:rPr>
        <w:t>3</w:t>
      </w:r>
      <w:r>
        <w:rPr>
          <w:rFonts w:ascii="仿宋" w:eastAsia="仿宋" w:hAnsi="仿宋" w:cs="仿宋" w:hint="eastAsia"/>
          <w:color w:val="000000"/>
          <w:sz w:val="24"/>
          <w:szCs w:val="20"/>
          <w:lang w:eastAsia="zh-CN"/>
        </w:rPr>
        <w:t>个月的社保缴纳证明。</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项目负责人资质：配置项目负责人</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名，须具有高级网络运维工程师或高级信息安全管理工程师资质，持有系统集成项目管理工程师（中级）或信息系统集成</w:t>
      </w:r>
      <w:r>
        <w:rPr>
          <w:rFonts w:ascii="仿宋" w:eastAsia="仿宋" w:hAnsi="仿宋" w:cs="仿宋" w:hint="eastAsia"/>
          <w:color w:val="000000"/>
          <w:sz w:val="24"/>
          <w:szCs w:val="20"/>
          <w:lang w:eastAsia="zh-CN"/>
        </w:rPr>
        <w:lastRenderedPageBreak/>
        <w:t>管理师资质证书，具备高级网络安全系统评测能力，全面统筹设备保修、原厂备件协调与应急抢修调度。</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3.</w:t>
      </w:r>
      <w:r>
        <w:rPr>
          <w:rFonts w:ascii="仿宋" w:eastAsia="仿宋" w:hAnsi="仿宋" w:cs="仿宋" w:hint="eastAsia"/>
          <w:color w:val="000000"/>
          <w:sz w:val="24"/>
          <w:szCs w:val="20"/>
          <w:lang w:eastAsia="zh-CN"/>
        </w:rPr>
        <w:t>技术负责人资质：配置技术负责人</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名，须具备信息安全保障人员认证（</w:t>
      </w:r>
      <w:r>
        <w:rPr>
          <w:rFonts w:ascii="仿宋" w:eastAsia="仿宋" w:hAnsi="仿宋" w:cs="仿宋" w:hint="eastAsia"/>
          <w:color w:val="000000"/>
          <w:sz w:val="24"/>
          <w:szCs w:val="20"/>
          <w:lang w:eastAsia="zh-CN"/>
        </w:rPr>
        <w:t>CISAW</w:t>
      </w:r>
      <w:r>
        <w:rPr>
          <w:rFonts w:ascii="仿宋" w:eastAsia="仿宋" w:hAnsi="仿宋" w:cs="仿宋" w:hint="eastAsia"/>
          <w:color w:val="000000"/>
          <w:sz w:val="24"/>
          <w:szCs w:val="20"/>
          <w:lang w:eastAsia="zh-CN"/>
        </w:rPr>
        <w:t>）证书或注册信息安全工程师（</w:t>
      </w:r>
      <w:r>
        <w:rPr>
          <w:rFonts w:ascii="仿宋" w:eastAsia="仿宋" w:hAnsi="仿宋" w:cs="仿宋" w:hint="eastAsia"/>
          <w:color w:val="000000"/>
          <w:sz w:val="24"/>
          <w:szCs w:val="20"/>
          <w:lang w:eastAsia="zh-CN"/>
        </w:rPr>
        <w:t>CISE</w:t>
      </w:r>
      <w:r>
        <w:rPr>
          <w:rFonts w:ascii="仿宋" w:eastAsia="仿宋" w:hAnsi="仿宋" w:cs="仿宋" w:hint="eastAsia"/>
          <w:color w:val="000000"/>
          <w:sz w:val="24"/>
          <w:szCs w:val="20"/>
          <w:lang w:eastAsia="zh-CN"/>
        </w:rPr>
        <w:t>）专业资格，负责关键设备疑难硬件排障、双机热备配置调试及安全加固方案制定。</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4.</w:t>
      </w:r>
      <w:r>
        <w:rPr>
          <w:rFonts w:ascii="仿宋" w:eastAsia="仿宋" w:hAnsi="仿宋" w:cs="仿宋" w:hint="eastAsia"/>
          <w:color w:val="000000"/>
          <w:sz w:val="24"/>
          <w:szCs w:val="20"/>
          <w:lang w:eastAsia="zh-CN"/>
        </w:rPr>
        <w:t>人员在职与稳定性要求：项目负责人及技术负责人须为投标人的在职正式员工（提供劳动合同</w:t>
      </w:r>
      <w:r>
        <w:rPr>
          <w:rFonts w:ascii="仿宋" w:eastAsia="仿宋" w:hAnsi="仿宋" w:cs="仿宋" w:hint="eastAsia"/>
          <w:color w:val="000000"/>
          <w:sz w:val="24"/>
          <w:szCs w:val="20"/>
          <w:lang w:eastAsia="zh-CN"/>
        </w:rPr>
        <w:t>复印件及社保机构出具的近</w:t>
      </w:r>
      <w:r>
        <w:rPr>
          <w:rFonts w:ascii="仿宋" w:eastAsia="仿宋" w:hAnsi="仿宋" w:cs="仿宋" w:hint="eastAsia"/>
          <w:color w:val="000000"/>
          <w:sz w:val="24"/>
          <w:szCs w:val="20"/>
          <w:lang w:eastAsia="zh-CN"/>
        </w:rPr>
        <w:t>3</w:t>
      </w:r>
      <w:r>
        <w:rPr>
          <w:rFonts w:ascii="仿宋" w:eastAsia="仿宋" w:hAnsi="仿宋" w:cs="仿宋" w:hint="eastAsia"/>
          <w:color w:val="000000"/>
          <w:sz w:val="24"/>
          <w:szCs w:val="20"/>
          <w:lang w:eastAsia="zh-CN"/>
        </w:rPr>
        <w:t>个月社保缴纳证明）。服务期内人员不得随意更换，确保维保服务延续性。</w:t>
      </w:r>
    </w:p>
    <w:p w:rsidR="0098285A" w:rsidRDefault="008C5EAD">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w:t>
      </w:r>
      <w:r>
        <w:rPr>
          <w:rFonts w:ascii="仿宋" w:eastAsia="仿宋" w:hAnsi="仿宋" w:cs="仿宋" w:hint="eastAsia"/>
          <w:b/>
          <w:color w:val="000000"/>
          <w:sz w:val="24"/>
          <w:szCs w:val="20"/>
          <w:lang w:eastAsia="zh-CN"/>
        </w:rPr>
        <w:t>二</w:t>
      </w:r>
      <w:r>
        <w:rPr>
          <w:rFonts w:ascii="仿宋" w:eastAsia="仿宋" w:hAnsi="仿宋" w:cs="仿宋" w:hint="eastAsia"/>
          <w:b/>
          <w:color w:val="000000"/>
          <w:sz w:val="24"/>
          <w:szCs w:val="20"/>
          <w:lang w:eastAsia="zh-CN"/>
        </w:rPr>
        <w:t>）快速应急响应承诺</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非工作时间紧急响应承诺：投标人须提供</w:t>
      </w:r>
      <w:r>
        <w:rPr>
          <w:rFonts w:ascii="仿宋" w:eastAsia="仿宋" w:hAnsi="仿宋" w:cs="仿宋" w:hint="eastAsia"/>
          <w:color w:val="000000"/>
          <w:sz w:val="24"/>
          <w:szCs w:val="20"/>
          <w:lang w:eastAsia="zh-CN"/>
        </w:rPr>
        <w:t>7</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24</w:t>
      </w:r>
      <w:r>
        <w:rPr>
          <w:rFonts w:ascii="仿宋" w:eastAsia="仿宋" w:hAnsi="仿宋" w:cs="仿宋" w:hint="eastAsia"/>
          <w:color w:val="000000"/>
          <w:sz w:val="24"/>
          <w:szCs w:val="20"/>
          <w:lang w:eastAsia="zh-CN"/>
        </w:rPr>
        <w:t>小时全天候应急技术支援，正常工作时间</w:t>
      </w:r>
      <w:r>
        <w:rPr>
          <w:rFonts w:ascii="仿宋" w:eastAsia="仿宋" w:hAnsi="仿宋" w:cs="仿宋" w:hint="eastAsia"/>
          <w:color w:val="000000"/>
          <w:sz w:val="24"/>
          <w:szCs w:val="20"/>
          <w:lang w:eastAsia="zh-CN"/>
        </w:rPr>
        <w:t>30</w:t>
      </w:r>
      <w:r>
        <w:rPr>
          <w:rFonts w:ascii="仿宋" w:eastAsia="仿宋" w:hAnsi="仿宋" w:cs="仿宋" w:hint="eastAsia"/>
          <w:color w:val="000000"/>
          <w:sz w:val="24"/>
          <w:szCs w:val="20"/>
          <w:lang w:eastAsia="zh-CN"/>
        </w:rPr>
        <w:t>分钟内抵达现场；投标人须出具书面承诺函，承诺在非工作时间（夜间、周末及法定节假日）遇到严重紧急设备故障时，技术人员携带备件能够在</w:t>
      </w: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小时内抵达现场提供应急抢修服务。</w:t>
      </w:r>
    </w:p>
    <w:p w:rsidR="0098285A" w:rsidRDefault="008C5EAD">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w:t>
      </w:r>
      <w:r>
        <w:rPr>
          <w:rFonts w:ascii="仿宋" w:eastAsia="仿宋" w:hAnsi="仿宋" w:cs="仿宋" w:hint="eastAsia"/>
          <w:b/>
          <w:color w:val="000000"/>
          <w:sz w:val="24"/>
          <w:szCs w:val="20"/>
          <w:lang w:eastAsia="zh-CN"/>
        </w:rPr>
        <w:t>三</w:t>
      </w:r>
      <w:r>
        <w:rPr>
          <w:rFonts w:ascii="仿宋" w:eastAsia="仿宋" w:hAnsi="仿宋" w:cs="仿宋" w:hint="eastAsia"/>
          <w:b/>
          <w:color w:val="000000"/>
          <w:sz w:val="24"/>
          <w:szCs w:val="20"/>
          <w:lang w:eastAsia="zh-CN"/>
        </w:rPr>
        <w:t>）现场巡检频次与规范化表单要求</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现场物理巡检频次承诺：为保障机房老旧设备平稳运行，防范突发隐患，投标人须承诺提供高密度的定期现场巡检服务，投标</w:t>
      </w:r>
      <w:r>
        <w:rPr>
          <w:rFonts w:ascii="仿宋" w:eastAsia="仿宋" w:hAnsi="仿宋" w:cs="仿宋" w:hint="eastAsia"/>
          <w:color w:val="000000"/>
          <w:sz w:val="24"/>
          <w:szCs w:val="20"/>
          <w:lang w:eastAsia="zh-CN"/>
        </w:rPr>
        <w:t>人须在投标文件中承诺每</w:t>
      </w:r>
      <w:r>
        <w:rPr>
          <w:rFonts w:ascii="仿宋" w:eastAsia="仿宋" w:hAnsi="仿宋" w:cs="仿宋" w:hint="eastAsia"/>
          <w:color w:val="000000"/>
          <w:sz w:val="24"/>
          <w:szCs w:val="20"/>
          <w:lang w:eastAsia="zh-CN"/>
        </w:rPr>
        <w:t>月</w:t>
      </w:r>
      <w:r>
        <w:rPr>
          <w:rFonts w:ascii="仿宋" w:eastAsia="仿宋" w:hAnsi="仿宋" w:cs="仿宋" w:hint="eastAsia"/>
          <w:color w:val="000000"/>
          <w:sz w:val="24"/>
          <w:szCs w:val="20"/>
          <w:lang w:eastAsia="zh-CN"/>
        </w:rPr>
        <w:t>至少提供</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次现场专业物理巡检（含设备指示灯检查、风道积尘清理、接口状态及空调运行检查），出具规范的现场巡检记录表单。</w:t>
      </w:r>
    </w:p>
    <w:p w:rsidR="0098285A" w:rsidRDefault="008C5EAD">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w:t>
      </w:r>
      <w:r>
        <w:rPr>
          <w:rFonts w:ascii="仿宋" w:eastAsia="仿宋" w:hAnsi="仿宋" w:cs="仿宋" w:hint="eastAsia"/>
          <w:b/>
          <w:color w:val="000000"/>
          <w:sz w:val="24"/>
          <w:szCs w:val="20"/>
          <w:lang w:eastAsia="zh-CN"/>
        </w:rPr>
        <w:t>四</w:t>
      </w:r>
      <w:r>
        <w:rPr>
          <w:rFonts w:ascii="仿宋" w:eastAsia="仿宋" w:hAnsi="仿宋" w:cs="仿宋" w:hint="eastAsia"/>
          <w:b/>
          <w:color w:val="000000"/>
          <w:sz w:val="24"/>
          <w:szCs w:val="20"/>
          <w:lang w:eastAsia="zh-CN"/>
        </w:rPr>
        <w:t>）技术培训方案</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lastRenderedPageBreak/>
        <w:t>专业技术培训方案：针对医院信息科管理人员及网络管理员，制定详尽的年度技术培训计划，每季度提供</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次针对防火墙策略优化、安全事件溯源及防勒索策略配置的现场实操培训。</w:t>
      </w:r>
    </w:p>
    <w:p w:rsidR="0098285A" w:rsidRDefault="008C5EAD">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w:t>
      </w:r>
      <w:r>
        <w:rPr>
          <w:rFonts w:ascii="仿宋" w:eastAsia="仿宋" w:hAnsi="仿宋" w:cs="仿宋" w:hint="eastAsia"/>
          <w:b/>
          <w:color w:val="000000"/>
          <w:sz w:val="24"/>
          <w:szCs w:val="20"/>
          <w:lang w:eastAsia="zh-CN"/>
        </w:rPr>
        <w:t>五</w:t>
      </w:r>
      <w:r>
        <w:rPr>
          <w:rFonts w:ascii="仿宋" w:eastAsia="仿宋" w:hAnsi="仿宋" w:cs="仿宋" w:hint="eastAsia"/>
          <w:b/>
          <w:color w:val="000000"/>
          <w:sz w:val="24"/>
          <w:szCs w:val="20"/>
          <w:lang w:eastAsia="zh-CN"/>
        </w:rPr>
        <w:t>）硬件故障排除与</w:t>
      </w:r>
      <w:r>
        <w:rPr>
          <w:rFonts w:ascii="仿宋" w:eastAsia="仿宋" w:hAnsi="仿宋" w:cs="仿宋" w:hint="eastAsia"/>
          <w:b/>
          <w:color w:val="000000"/>
          <w:sz w:val="24"/>
          <w:szCs w:val="20"/>
          <w:lang w:eastAsia="zh-CN"/>
        </w:rPr>
        <w:t>SLA</w:t>
      </w:r>
      <w:r>
        <w:rPr>
          <w:rFonts w:ascii="仿宋" w:eastAsia="仿宋" w:hAnsi="仿宋" w:cs="仿宋" w:hint="eastAsia"/>
          <w:b/>
          <w:color w:val="000000"/>
          <w:sz w:val="24"/>
          <w:szCs w:val="20"/>
          <w:lang w:eastAsia="zh-CN"/>
        </w:rPr>
        <w:t>服务时效要求</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原厂服务通道保障：对于清单内的关键安全网关与存储系统，中标人须开通设备厂商原厂绿色报修通道，确保在发生重大硬件故障时厂商研发及技术支持团队能在第一时间介入。</w:t>
      </w:r>
    </w:p>
    <w:p w:rsidR="0098285A" w:rsidRDefault="008C5EAD">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硬件修复与换件时限：发生硬件单点故障但未中断业务的，须在</w:t>
      </w:r>
      <w:r>
        <w:rPr>
          <w:rFonts w:ascii="仿宋" w:eastAsia="仿宋" w:hAnsi="仿宋" w:cs="仿宋" w:hint="eastAsia"/>
          <w:color w:val="000000"/>
          <w:sz w:val="24"/>
          <w:szCs w:val="20"/>
          <w:lang w:eastAsia="zh-CN"/>
        </w:rPr>
        <w:t>4</w:t>
      </w:r>
      <w:r>
        <w:rPr>
          <w:rFonts w:ascii="仿宋" w:eastAsia="仿宋" w:hAnsi="仿宋" w:cs="仿宋" w:hint="eastAsia"/>
          <w:color w:val="000000"/>
          <w:sz w:val="24"/>
          <w:szCs w:val="20"/>
          <w:lang w:eastAsia="zh-CN"/>
        </w:rPr>
        <w:t>小时内完成备件更换；发生核心部件损毁导致单机宕机或业务中断的，须在</w:t>
      </w: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小时内携带合格备件到达现场，</w:t>
      </w:r>
      <w:r>
        <w:rPr>
          <w:rFonts w:ascii="仿宋" w:eastAsia="仿宋" w:hAnsi="仿宋" w:cs="仿宋" w:hint="eastAsia"/>
          <w:color w:val="000000"/>
          <w:sz w:val="24"/>
          <w:szCs w:val="20"/>
          <w:lang w:eastAsia="zh-CN"/>
        </w:rPr>
        <w:t>4</w:t>
      </w:r>
      <w:r>
        <w:rPr>
          <w:rFonts w:ascii="仿宋" w:eastAsia="仿宋" w:hAnsi="仿宋" w:cs="仿宋" w:hint="eastAsia"/>
          <w:color w:val="000000"/>
          <w:sz w:val="24"/>
          <w:szCs w:val="20"/>
          <w:lang w:eastAsia="zh-CN"/>
        </w:rPr>
        <w:t>小时内完成硬件更换并恢复双机热备或业务运行。</w:t>
      </w:r>
    </w:p>
    <w:p w:rsidR="0098285A" w:rsidRDefault="008C5EAD">
      <w:pPr>
        <w:spacing w:before="280" w:after="12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五、</w:t>
      </w:r>
      <w:r>
        <w:rPr>
          <w:rFonts w:ascii="仿宋" w:eastAsia="仿宋" w:hAnsi="仿宋" w:cs="仿宋" w:hint="eastAsia"/>
          <w:color w:val="000000"/>
          <w:sz w:val="24"/>
          <w:szCs w:val="20"/>
          <w:lang w:eastAsia="zh-CN"/>
        </w:rPr>
        <w:t>商务要求</w:t>
      </w:r>
    </w:p>
    <w:p w:rsidR="0098285A" w:rsidRDefault="008C5EAD">
      <w:pPr>
        <w:spacing w:before="160" w:after="80" w:line="560" w:lineRule="exact"/>
        <w:ind w:firstLine="640"/>
        <w:rPr>
          <w:rFonts w:ascii="仿宋" w:eastAsia="仿宋" w:hAnsi="仿宋" w:cs="仿宋"/>
          <w:bCs/>
          <w:sz w:val="20"/>
          <w:szCs w:val="20"/>
          <w:lang w:eastAsia="zh-CN"/>
        </w:rPr>
      </w:pPr>
      <w:r>
        <w:rPr>
          <w:rFonts w:ascii="仿宋" w:eastAsia="仿宋" w:hAnsi="仿宋" w:cs="仿宋" w:hint="eastAsia"/>
          <w:bCs/>
          <w:color w:val="000000"/>
          <w:sz w:val="24"/>
          <w:szCs w:val="20"/>
          <w:lang w:eastAsia="zh-CN"/>
        </w:rPr>
        <w:t>（一）报价方式：人民币总价包干报价，报价包含</w:t>
      </w:r>
      <w:r>
        <w:rPr>
          <w:rFonts w:ascii="仿宋" w:eastAsia="仿宋" w:hAnsi="仿宋" w:cs="仿宋" w:hint="eastAsia"/>
          <w:bCs/>
          <w:color w:val="000000"/>
          <w:sz w:val="24"/>
          <w:szCs w:val="20"/>
          <w:lang w:eastAsia="zh-CN"/>
        </w:rPr>
        <w:t>17</w:t>
      </w:r>
      <w:r>
        <w:rPr>
          <w:rFonts w:ascii="仿宋" w:eastAsia="仿宋" w:hAnsi="仿宋" w:cs="仿宋" w:hint="eastAsia"/>
          <w:bCs/>
          <w:color w:val="000000"/>
          <w:sz w:val="24"/>
          <w:szCs w:val="20"/>
          <w:lang w:eastAsia="zh-CN"/>
        </w:rPr>
        <w:t>项设备原厂维保费、第三方技术保修费、备品备件费、巡检服务费、应急抢修工时费、培训演</w:t>
      </w:r>
      <w:r>
        <w:rPr>
          <w:rFonts w:ascii="仿宋" w:eastAsia="仿宋" w:hAnsi="仿宋" w:cs="仿宋" w:hint="eastAsia"/>
          <w:bCs/>
          <w:color w:val="000000"/>
          <w:sz w:val="24"/>
          <w:szCs w:val="20"/>
          <w:lang w:eastAsia="zh-CN"/>
        </w:rPr>
        <w:t>练费、税费及其他全部费用。采购人无需为本项目的执行支付任何额外费用。</w:t>
      </w:r>
    </w:p>
    <w:p w:rsidR="0098285A" w:rsidRDefault="008C5EAD">
      <w:pPr>
        <w:spacing w:before="160" w:after="80" w:line="560" w:lineRule="exact"/>
        <w:ind w:firstLine="640"/>
        <w:rPr>
          <w:rFonts w:ascii="仿宋" w:eastAsia="仿宋" w:hAnsi="仿宋" w:cs="仿宋"/>
          <w:bCs/>
          <w:sz w:val="20"/>
          <w:szCs w:val="20"/>
          <w:lang w:eastAsia="zh-CN"/>
        </w:rPr>
      </w:pPr>
      <w:r>
        <w:rPr>
          <w:rFonts w:ascii="仿宋" w:eastAsia="仿宋" w:hAnsi="仿宋" w:cs="仿宋" w:hint="eastAsia"/>
          <w:bCs/>
          <w:color w:val="000000"/>
          <w:sz w:val="24"/>
          <w:szCs w:val="20"/>
          <w:lang w:eastAsia="zh-CN"/>
        </w:rPr>
        <w:t>（二）服务地点：武汉市精神卫生中心各院区机房（硚口区游艺路</w:t>
      </w:r>
      <w:r>
        <w:rPr>
          <w:rFonts w:ascii="仿宋" w:eastAsia="仿宋" w:hAnsi="仿宋" w:cs="仿宋" w:hint="eastAsia"/>
          <w:bCs/>
          <w:color w:val="000000"/>
          <w:sz w:val="24"/>
          <w:szCs w:val="20"/>
          <w:lang w:eastAsia="zh-CN"/>
        </w:rPr>
        <w:t>70</w:t>
      </w:r>
      <w:r>
        <w:rPr>
          <w:rFonts w:ascii="仿宋" w:eastAsia="仿宋" w:hAnsi="仿宋" w:cs="仿宋" w:hint="eastAsia"/>
          <w:bCs/>
          <w:color w:val="000000"/>
          <w:sz w:val="24"/>
          <w:szCs w:val="20"/>
          <w:lang w:eastAsia="zh-CN"/>
        </w:rPr>
        <w:t>号六角亭院区、江岸区工农兵路</w:t>
      </w:r>
      <w:r>
        <w:rPr>
          <w:rFonts w:ascii="仿宋" w:eastAsia="仿宋" w:hAnsi="仿宋" w:cs="仿宋" w:hint="eastAsia"/>
          <w:bCs/>
          <w:color w:val="000000"/>
          <w:sz w:val="24"/>
          <w:szCs w:val="20"/>
          <w:lang w:eastAsia="zh-CN"/>
        </w:rPr>
        <w:t>89</w:t>
      </w:r>
      <w:r>
        <w:rPr>
          <w:rFonts w:ascii="仿宋" w:eastAsia="仿宋" w:hAnsi="仿宋" w:cs="仿宋" w:hint="eastAsia"/>
          <w:bCs/>
          <w:color w:val="000000"/>
          <w:sz w:val="24"/>
          <w:szCs w:val="20"/>
          <w:lang w:eastAsia="zh-CN"/>
        </w:rPr>
        <w:t>号二七院区等）。</w:t>
      </w:r>
    </w:p>
    <w:p w:rsidR="0098285A" w:rsidRDefault="008C5EAD">
      <w:pPr>
        <w:spacing w:before="160" w:after="80" w:line="560" w:lineRule="exact"/>
        <w:ind w:firstLine="640"/>
        <w:rPr>
          <w:rFonts w:ascii="仿宋" w:eastAsia="仿宋" w:hAnsi="仿宋" w:cs="仿宋"/>
          <w:bCs/>
          <w:sz w:val="20"/>
          <w:szCs w:val="20"/>
          <w:lang w:eastAsia="zh-CN"/>
        </w:rPr>
      </w:pPr>
      <w:r>
        <w:rPr>
          <w:rFonts w:ascii="仿宋" w:eastAsia="仿宋" w:hAnsi="仿宋" w:cs="仿宋" w:hint="eastAsia"/>
          <w:bCs/>
          <w:color w:val="000000"/>
          <w:sz w:val="24"/>
          <w:szCs w:val="20"/>
          <w:lang w:eastAsia="zh-CN"/>
        </w:rPr>
        <w:t>（三）付款方式：合同签订生效且首期巡检实施后</w:t>
      </w:r>
      <w:r>
        <w:rPr>
          <w:rFonts w:ascii="仿宋" w:eastAsia="仿宋" w:hAnsi="仿宋" w:cs="仿宋" w:hint="eastAsia"/>
          <w:bCs/>
          <w:color w:val="000000"/>
          <w:sz w:val="24"/>
          <w:szCs w:val="20"/>
          <w:lang w:eastAsia="zh-CN"/>
        </w:rPr>
        <w:t>15</w:t>
      </w:r>
      <w:r>
        <w:rPr>
          <w:rFonts w:ascii="仿宋" w:eastAsia="仿宋" w:hAnsi="仿宋" w:cs="仿宋" w:hint="eastAsia"/>
          <w:bCs/>
          <w:color w:val="000000"/>
          <w:sz w:val="24"/>
          <w:szCs w:val="20"/>
          <w:lang w:eastAsia="zh-CN"/>
        </w:rPr>
        <w:t>个工作日内支付合同总金额的</w:t>
      </w:r>
      <w:r>
        <w:rPr>
          <w:rFonts w:ascii="仿宋" w:eastAsia="仿宋" w:hAnsi="仿宋" w:cs="仿宋" w:hint="eastAsia"/>
          <w:bCs/>
          <w:color w:val="000000"/>
          <w:sz w:val="24"/>
          <w:szCs w:val="20"/>
          <w:lang w:eastAsia="zh-CN"/>
        </w:rPr>
        <w:t>70%</w:t>
      </w:r>
      <w:r>
        <w:rPr>
          <w:rFonts w:ascii="仿宋" w:eastAsia="仿宋" w:hAnsi="仿宋" w:cs="仿宋" w:hint="eastAsia"/>
          <w:bCs/>
          <w:color w:val="000000"/>
          <w:sz w:val="24"/>
          <w:szCs w:val="20"/>
          <w:lang w:eastAsia="zh-CN"/>
        </w:rPr>
        <w:t>；服务通过采购人年度综合验收合格后</w:t>
      </w:r>
      <w:r>
        <w:rPr>
          <w:rFonts w:ascii="仿宋" w:eastAsia="仿宋" w:hAnsi="仿宋" w:cs="仿宋" w:hint="eastAsia"/>
          <w:bCs/>
          <w:color w:val="000000"/>
          <w:sz w:val="24"/>
          <w:szCs w:val="20"/>
          <w:lang w:eastAsia="zh-CN"/>
        </w:rPr>
        <w:t>15</w:t>
      </w:r>
      <w:r>
        <w:rPr>
          <w:rFonts w:ascii="仿宋" w:eastAsia="仿宋" w:hAnsi="仿宋" w:cs="仿宋" w:hint="eastAsia"/>
          <w:bCs/>
          <w:color w:val="000000"/>
          <w:sz w:val="24"/>
          <w:szCs w:val="20"/>
          <w:lang w:eastAsia="zh-CN"/>
        </w:rPr>
        <w:t>个工作日内支付剩余</w:t>
      </w:r>
      <w:r>
        <w:rPr>
          <w:rFonts w:ascii="仿宋" w:eastAsia="仿宋" w:hAnsi="仿宋" w:cs="仿宋" w:hint="eastAsia"/>
          <w:bCs/>
          <w:color w:val="000000"/>
          <w:sz w:val="24"/>
          <w:szCs w:val="20"/>
          <w:lang w:eastAsia="zh-CN"/>
        </w:rPr>
        <w:t>30%</w:t>
      </w:r>
      <w:r>
        <w:rPr>
          <w:rFonts w:ascii="仿宋" w:eastAsia="仿宋" w:hAnsi="仿宋" w:cs="仿宋" w:hint="eastAsia"/>
          <w:bCs/>
          <w:color w:val="000000"/>
          <w:sz w:val="24"/>
          <w:szCs w:val="20"/>
          <w:lang w:eastAsia="zh-CN"/>
        </w:rPr>
        <w:t>尾款。</w:t>
      </w:r>
    </w:p>
    <w:p w:rsidR="0098285A" w:rsidRDefault="008C5EAD">
      <w:pPr>
        <w:spacing w:before="160" w:after="80" w:line="560" w:lineRule="exact"/>
        <w:ind w:firstLine="640"/>
        <w:rPr>
          <w:rFonts w:ascii="仿宋" w:eastAsia="仿宋" w:hAnsi="仿宋" w:cs="仿宋"/>
          <w:bCs/>
          <w:color w:val="000000"/>
          <w:sz w:val="24"/>
          <w:szCs w:val="20"/>
          <w:lang w:eastAsia="zh-CN"/>
        </w:rPr>
      </w:pPr>
      <w:r>
        <w:rPr>
          <w:rFonts w:ascii="仿宋" w:eastAsia="仿宋" w:hAnsi="仿宋" w:cs="仿宋" w:hint="eastAsia"/>
          <w:bCs/>
          <w:color w:val="000000"/>
          <w:sz w:val="24"/>
          <w:szCs w:val="20"/>
          <w:lang w:eastAsia="zh-CN"/>
        </w:rPr>
        <w:t>（四）合同续约机制：本项目拟实行招一延二方式。首年为合同固定服务期，累计续签不超过</w:t>
      </w:r>
      <w:r>
        <w:rPr>
          <w:rFonts w:ascii="仿宋" w:eastAsia="仿宋" w:hAnsi="仿宋" w:cs="仿宋" w:hint="eastAsia"/>
          <w:bCs/>
          <w:color w:val="000000"/>
          <w:sz w:val="24"/>
          <w:szCs w:val="20"/>
          <w:lang w:eastAsia="zh-CN"/>
        </w:rPr>
        <w:t>2</w:t>
      </w:r>
      <w:r>
        <w:rPr>
          <w:rFonts w:ascii="仿宋" w:eastAsia="仿宋" w:hAnsi="仿宋" w:cs="仿宋" w:hint="eastAsia"/>
          <w:bCs/>
          <w:color w:val="000000"/>
          <w:sz w:val="24"/>
          <w:szCs w:val="20"/>
          <w:lang w:eastAsia="zh-CN"/>
        </w:rPr>
        <w:t>年，续签实行一年一签。服务期满，若中标人履约正常，能够持</w:t>
      </w:r>
      <w:r>
        <w:rPr>
          <w:rFonts w:ascii="仿宋" w:eastAsia="仿宋" w:hAnsi="仿宋" w:cs="仿宋" w:hint="eastAsia"/>
          <w:bCs/>
          <w:color w:val="000000"/>
          <w:sz w:val="24"/>
          <w:szCs w:val="20"/>
          <w:lang w:eastAsia="zh-CN"/>
        </w:rPr>
        <w:lastRenderedPageBreak/>
        <w:t>续提供原厂维保、备件更换、版本库升级等约定服务，无重大服务违约、无重大设备维保责任事故，方可续签服务合同。续签合同价格与服务标准保持不变。如出现重大违约、无法提供原厂维保服务或发生重大责任安全事故，中心不再续约。</w:t>
      </w:r>
    </w:p>
    <w:p w:rsidR="0098285A" w:rsidRDefault="008C5EAD">
      <w:pPr>
        <w:spacing w:before="160" w:after="80" w:line="560" w:lineRule="exact"/>
        <w:ind w:firstLine="640"/>
        <w:rPr>
          <w:rFonts w:ascii="仿宋" w:eastAsia="仿宋" w:hAnsi="仿宋" w:cs="仿宋"/>
          <w:bCs/>
          <w:color w:val="000000"/>
          <w:sz w:val="24"/>
          <w:szCs w:val="20"/>
          <w:lang w:eastAsia="zh-CN"/>
        </w:rPr>
      </w:pPr>
      <w:r>
        <w:rPr>
          <w:rFonts w:ascii="仿宋" w:eastAsia="仿宋" w:hAnsi="仿宋" w:cs="仿宋" w:hint="eastAsia"/>
          <w:bCs/>
          <w:color w:val="000000"/>
          <w:sz w:val="24"/>
          <w:szCs w:val="20"/>
          <w:lang w:eastAsia="zh-CN"/>
        </w:rPr>
        <w:t>（五）验收</w:t>
      </w:r>
      <w:r>
        <w:rPr>
          <w:rFonts w:ascii="仿宋" w:eastAsia="仿宋" w:hAnsi="仿宋" w:cs="仿宋" w:hint="eastAsia"/>
          <w:bCs/>
          <w:color w:val="000000"/>
          <w:sz w:val="24"/>
          <w:szCs w:val="20"/>
          <w:lang w:eastAsia="zh-CN"/>
        </w:rPr>
        <w:t>要求</w:t>
      </w:r>
      <w:r>
        <w:rPr>
          <w:rFonts w:ascii="仿宋" w:eastAsia="仿宋" w:hAnsi="仿宋" w:cs="仿宋" w:hint="eastAsia"/>
          <w:bCs/>
          <w:color w:val="000000"/>
          <w:sz w:val="24"/>
          <w:szCs w:val="20"/>
          <w:lang w:eastAsia="zh-CN"/>
        </w:rPr>
        <w:t>：乙方按服务期限完成服务后，向甲方提交齐全的服务交付件，经甲方服务考核后，由甲方组织验收。</w:t>
      </w:r>
    </w:p>
    <w:p w:rsidR="0098285A" w:rsidRDefault="008C5EAD">
      <w:pPr>
        <w:spacing w:before="160" w:after="80" w:line="560" w:lineRule="exact"/>
        <w:ind w:firstLine="640"/>
        <w:rPr>
          <w:rFonts w:ascii="仿宋" w:eastAsia="仿宋" w:hAnsi="仿宋" w:cs="仿宋"/>
          <w:bCs/>
          <w:color w:val="000000"/>
          <w:sz w:val="24"/>
          <w:szCs w:val="20"/>
          <w:lang w:eastAsia="zh-CN"/>
        </w:rPr>
      </w:pPr>
      <w:r>
        <w:rPr>
          <w:rFonts w:ascii="仿宋" w:eastAsia="仿宋" w:hAnsi="仿宋" w:cs="仿宋" w:hint="eastAsia"/>
          <w:bCs/>
          <w:color w:val="000000"/>
          <w:sz w:val="24"/>
          <w:szCs w:val="20"/>
          <w:lang w:eastAsia="zh-CN"/>
        </w:rPr>
        <w:t>（</w:t>
      </w:r>
      <w:r>
        <w:rPr>
          <w:rFonts w:ascii="仿宋" w:eastAsia="仿宋" w:hAnsi="仿宋" w:cs="仿宋" w:hint="eastAsia"/>
          <w:bCs/>
          <w:color w:val="000000"/>
          <w:sz w:val="24"/>
          <w:szCs w:val="20"/>
          <w:lang w:eastAsia="zh-CN"/>
        </w:rPr>
        <w:t>六</w:t>
      </w:r>
      <w:r>
        <w:rPr>
          <w:rFonts w:ascii="仿宋" w:eastAsia="仿宋" w:hAnsi="仿宋" w:cs="仿宋" w:hint="eastAsia"/>
          <w:bCs/>
          <w:color w:val="000000"/>
          <w:sz w:val="24"/>
          <w:szCs w:val="20"/>
          <w:lang w:eastAsia="zh-CN"/>
        </w:rPr>
        <w:t>）</w:t>
      </w:r>
      <w:r>
        <w:rPr>
          <w:rFonts w:ascii="仿宋" w:eastAsia="仿宋" w:hAnsi="仿宋" w:cs="仿宋" w:hint="eastAsia"/>
          <w:bCs/>
          <w:color w:val="000000"/>
          <w:sz w:val="24"/>
          <w:szCs w:val="20"/>
          <w:lang w:eastAsia="zh-CN"/>
        </w:rPr>
        <w:t>服务考核：服务期满后，</w:t>
      </w:r>
      <w:r>
        <w:rPr>
          <w:rFonts w:ascii="仿宋" w:eastAsia="仿宋" w:hAnsi="仿宋" w:cs="仿宋" w:hint="eastAsia"/>
          <w:bCs/>
          <w:color w:val="000000"/>
          <w:sz w:val="24"/>
          <w:szCs w:val="20"/>
          <w:lang w:eastAsia="zh-CN"/>
        </w:rPr>
        <w:t>甲方对乙方进行服务考核评</w:t>
      </w:r>
      <w:r>
        <w:rPr>
          <w:rFonts w:ascii="仿宋" w:eastAsia="仿宋" w:hAnsi="仿宋" w:cs="仿宋" w:hint="eastAsia"/>
          <w:bCs/>
          <w:color w:val="000000"/>
          <w:sz w:val="24"/>
          <w:szCs w:val="20"/>
          <w:lang w:eastAsia="zh-CN"/>
        </w:rPr>
        <w:t>价</w:t>
      </w:r>
      <w:r>
        <w:rPr>
          <w:rFonts w:ascii="仿宋" w:eastAsia="仿宋" w:hAnsi="仿宋" w:cs="仿宋" w:hint="eastAsia"/>
          <w:bCs/>
          <w:color w:val="000000"/>
          <w:sz w:val="24"/>
          <w:szCs w:val="20"/>
          <w:lang w:eastAsia="zh-CN"/>
        </w:rPr>
        <w:t>，</w:t>
      </w:r>
      <w:r>
        <w:rPr>
          <w:rFonts w:ascii="仿宋" w:eastAsia="仿宋" w:hAnsi="仿宋" w:cs="仿宋" w:hint="eastAsia"/>
          <w:bCs/>
          <w:color w:val="000000"/>
          <w:sz w:val="24"/>
          <w:szCs w:val="20"/>
          <w:lang w:eastAsia="zh-CN"/>
        </w:rPr>
        <w:t>考核得分大于等于</w:t>
      </w:r>
      <w:r>
        <w:rPr>
          <w:rFonts w:ascii="仿宋" w:eastAsia="仿宋" w:hAnsi="仿宋" w:cs="仿宋" w:hint="eastAsia"/>
          <w:bCs/>
          <w:color w:val="000000"/>
          <w:sz w:val="24"/>
          <w:szCs w:val="20"/>
          <w:lang w:eastAsia="zh-CN"/>
        </w:rPr>
        <w:t>9</w:t>
      </w:r>
      <w:r w:rsidR="00961009">
        <w:rPr>
          <w:rFonts w:ascii="仿宋" w:eastAsia="仿宋" w:hAnsi="仿宋" w:cs="仿宋"/>
          <w:bCs/>
          <w:color w:val="000000"/>
          <w:sz w:val="24"/>
          <w:szCs w:val="20"/>
          <w:lang w:eastAsia="zh-CN"/>
        </w:rPr>
        <w:t>5</w:t>
      </w:r>
      <w:r>
        <w:rPr>
          <w:rFonts w:ascii="仿宋" w:eastAsia="仿宋" w:hAnsi="仿宋" w:cs="仿宋" w:hint="eastAsia"/>
          <w:bCs/>
          <w:color w:val="000000"/>
          <w:sz w:val="24"/>
          <w:szCs w:val="20"/>
          <w:lang w:eastAsia="zh-CN"/>
        </w:rPr>
        <w:t>分为合格，费用全额支付；考核得分小于</w:t>
      </w:r>
      <w:r>
        <w:rPr>
          <w:rFonts w:ascii="仿宋" w:eastAsia="仿宋" w:hAnsi="仿宋" w:cs="仿宋" w:hint="eastAsia"/>
          <w:bCs/>
          <w:color w:val="000000"/>
          <w:sz w:val="24"/>
          <w:szCs w:val="20"/>
          <w:lang w:eastAsia="zh-CN"/>
        </w:rPr>
        <w:t>9</w:t>
      </w:r>
      <w:r w:rsidR="00961009">
        <w:rPr>
          <w:rFonts w:ascii="仿宋" w:eastAsia="仿宋" w:hAnsi="仿宋" w:cs="仿宋"/>
          <w:bCs/>
          <w:color w:val="000000"/>
          <w:sz w:val="24"/>
          <w:szCs w:val="20"/>
          <w:lang w:eastAsia="zh-CN"/>
        </w:rPr>
        <w:t>5</w:t>
      </w:r>
      <w:r>
        <w:rPr>
          <w:rFonts w:ascii="仿宋" w:eastAsia="仿宋" w:hAnsi="仿宋" w:cs="仿宋" w:hint="eastAsia"/>
          <w:bCs/>
          <w:color w:val="000000"/>
          <w:sz w:val="24"/>
          <w:szCs w:val="20"/>
          <w:lang w:eastAsia="zh-CN"/>
        </w:rPr>
        <w:t>分为基本合格，服务期费用按每低于</w:t>
      </w:r>
      <w:bookmarkStart w:id="0" w:name="_GoBack"/>
      <w:r>
        <w:rPr>
          <w:rFonts w:ascii="仿宋" w:eastAsia="仿宋" w:hAnsi="仿宋" w:cs="仿宋" w:hint="eastAsia"/>
          <w:bCs/>
          <w:color w:val="000000"/>
          <w:sz w:val="24"/>
          <w:szCs w:val="20"/>
          <w:lang w:eastAsia="zh-CN"/>
        </w:rPr>
        <w:t>9</w:t>
      </w:r>
      <w:bookmarkEnd w:id="0"/>
      <w:r>
        <w:rPr>
          <w:rFonts w:ascii="仿宋" w:eastAsia="仿宋" w:hAnsi="仿宋" w:cs="仿宋" w:hint="eastAsia"/>
          <w:bCs/>
          <w:color w:val="000000"/>
          <w:sz w:val="24"/>
          <w:szCs w:val="20"/>
          <w:lang w:eastAsia="zh-CN"/>
        </w:rPr>
        <w:t>0</w:t>
      </w:r>
      <w:r>
        <w:rPr>
          <w:rFonts w:ascii="仿宋" w:eastAsia="仿宋" w:hAnsi="仿宋" w:cs="仿宋" w:hint="eastAsia"/>
          <w:bCs/>
          <w:color w:val="000000"/>
          <w:sz w:val="24"/>
          <w:szCs w:val="20"/>
          <w:lang w:eastAsia="zh-CN"/>
        </w:rPr>
        <w:t>分</w:t>
      </w:r>
      <w:r>
        <w:rPr>
          <w:rFonts w:ascii="仿宋" w:eastAsia="仿宋" w:hAnsi="仿宋" w:cs="仿宋" w:hint="eastAsia"/>
          <w:bCs/>
          <w:color w:val="000000"/>
          <w:sz w:val="24"/>
          <w:szCs w:val="20"/>
          <w:lang w:eastAsia="zh-CN"/>
        </w:rPr>
        <w:t>1</w:t>
      </w:r>
      <w:r>
        <w:rPr>
          <w:rFonts w:ascii="仿宋" w:eastAsia="仿宋" w:hAnsi="仿宋" w:cs="仿宋" w:hint="eastAsia"/>
          <w:bCs/>
          <w:color w:val="000000"/>
          <w:sz w:val="24"/>
          <w:szCs w:val="20"/>
          <w:lang w:eastAsia="zh-CN"/>
        </w:rPr>
        <w:t>分扣减</w:t>
      </w:r>
      <w:r>
        <w:rPr>
          <w:rFonts w:ascii="仿宋" w:eastAsia="仿宋" w:hAnsi="仿宋" w:cs="仿宋" w:hint="eastAsia"/>
          <w:bCs/>
          <w:color w:val="000000"/>
          <w:sz w:val="24"/>
          <w:szCs w:val="20"/>
          <w:lang w:eastAsia="zh-CN"/>
        </w:rPr>
        <w:t>1%</w:t>
      </w:r>
      <w:r>
        <w:rPr>
          <w:rFonts w:ascii="仿宋" w:eastAsia="仿宋" w:hAnsi="仿宋" w:cs="仿宋" w:hint="eastAsia"/>
          <w:bCs/>
          <w:color w:val="000000"/>
          <w:sz w:val="24"/>
          <w:szCs w:val="20"/>
          <w:lang w:eastAsia="zh-CN"/>
        </w:rPr>
        <w:t>；考核得分小于</w:t>
      </w:r>
      <w:r>
        <w:rPr>
          <w:rFonts w:ascii="仿宋" w:eastAsia="仿宋" w:hAnsi="仿宋" w:cs="仿宋" w:hint="eastAsia"/>
          <w:bCs/>
          <w:color w:val="000000"/>
          <w:sz w:val="24"/>
          <w:szCs w:val="20"/>
          <w:lang w:eastAsia="zh-CN"/>
        </w:rPr>
        <w:t>80</w:t>
      </w:r>
      <w:r>
        <w:rPr>
          <w:rFonts w:ascii="仿宋" w:eastAsia="仿宋" w:hAnsi="仿宋" w:cs="仿宋" w:hint="eastAsia"/>
          <w:bCs/>
          <w:color w:val="000000"/>
          <w:sz w:val="24"/>
          <w:szCs w:val="20"/>
          <w:lang w:eastAsia="zh-CN"/>
        </w:rPr>
        <w:t>分为不合格，服务期费用按每低于</w:t>
      </w:r>
      <w:r>
        <w:rPr>
          <w:rFonts w:ascii="仿宋" w:eastAsia="仿宋" w:hAnsi="仿宋" w:cs="仿宋" w:hint="eastAsia"/>
          <w:bCs/>
          <w:color w:val="000000"/>
          <w:sz w:val="24"/>
          <w:szCs w:val="20"/>
          <w:lang w:eastAsia="zh-CN"/>
        </w:rPr>
        <w:t>90</w:t>
      </w:r>
      <w:r>
        <w:rPr>
          <w:rFonts w:ascii="仿宋" w:eastAsia="仿宋" w:hAnsi="仿宋" w:cs="仿宋" w:hint="eastAsia"/>
          <w:bCs/>
          <w:color w:val="000000"/>
          <w:sz w:val="24"/>
          <w:szCs w:val="20"/>
          <w:lang w:eastAsia="zh-CN"/>
        </w:rPr>
        <w:t>分</w:t>
      </w:r>
      <w:r>
        <w:rPr>
          <w:rFonts w:ascii="仿宋" w:eastAsia="仿宋" w:hAnsi="仿宋" w:cs="仿宋" w:hint="eastAsia"/>
          <w:bCs/>
          <w:color w:val="000000"/>
          <w:sz w:val="24"/>
          <w:szCs w:val="20"/>
          <w:lang w:eastAsia="zh-CN"/>
        </w:rPr>
        <w:t>1</w:t>
      </w:r>
      <w:r>
        <w:rPr>
          <w:rFonts w:ascii="仿宋" w:eastAsia="仿宋" w:hAnsi="仿宋" w:cs="仿宋" w:hint="eastAsia"/>
          <w:bCs/>
          <w:color w:val="000000"/>
          <w:sz w:val="24"/>
          <w:szCs w:val="20"/>
          <w:lang w:eastAsia="zh-CN"/>
        </w:rPr>
        <w:t>分扣减</w:t>
      </w:r>
      <w:r>
        <w:rPr>
          <w:rFonts w:ascii="仿宋" w:eastAsia="仿宋" w:hAnsi="仿宋" w:cs="仿宋" w:hint="eastAsia"/>
          <w:bCs/>
          <w:color w:val="000000"/>
          <w:sz w:val="24"/>
          <w:szCs w:val="20"/>
          <w:lang w:eastAsia="zh-CN"/>
        </w:rPr>
        <w:t>1%</w:t>
      </w:r>
      <w:r>
        <w:rPr>
          <w:rFonts w:ascii="仿宋" w:eastAsia="仿宋" w:hAnsi="仿宋" w:cs="仿宋" w:hint="eastAsia"/>
          <w:bCs/>
          <w:color w:val="000000"/>
          <w:sz w:val="24"/>
          <w:szCs w:val="20"/>
          <w:lang w:eastAsia="zh-CN"/>
        </w:rPr>
        <w:t>，且甲方有权解除服务合同</w:t>
      </w:r>
      <w:r>
        <w:rPr>
          <w:rFonts w:ascii="仿宋" w:eastAsia="仿宋" w:hAnsi="仿宋" w:cs="仿宋" w:hint="eastAsia"/>
          <w:bCs/>
          <w:color w:val="000000"/>
          <w:sz w:val="24"/>
          <w:szCs w:val="20"/>
          <w:lang w:eastAsia="zh-CN"/>
        </w:rPr>
        <w:t>。</w:t>
      </w:r>
    </w:p>
    <w:p w:rsidR="0098285A" w:rsidRDefault="008C5EAD">
      <w:pPr>
        <w:spacing w:before="160" w:after="80" w:line="560" w:lineRule="exact"/>
        <w:ind w:firstLine="640"/>
        <w:rPr>
          <w:rFonts w:ascii="仿宋" w:eastAsia="仿宋" w:hAnsi="仿宋" w:cs="仿宋"/>
          <w:bCs/>
          <w:color w:val="000000"/>
          <w:sz w:val="24"/>
          <w:szCs w:val="20"/>
          <w:lang w:eastAsia="zh-CN"/>
        </w:rPr>
      </w:pPr>
      <w:r>
        <w:rPr>
          <w:rFonts w:ascii="仿宋" w:eastAsia="仿宋" w:hAnsi="仿宋" w:cs="仿宋" w:hint="eastAsia"/>
          <w:bCs/>
          <w:color w:val="000000"/>
          <w:sz w:val="24"/>
          <w:szCs w:val="20"/>
          <w:lang w:eastAsia="zh-CN"/>
        </w:rPr>
        <w:t>（</w:t>
      </w:r>
      <w:r>
        <w:rPr>
          <w:rFonts w:ascii="仿宋" w:eastAsia="仿宋" w:hAnsi="仿宋" w:cs="仿宋" w:hint="eastAsia"/>
          <w:bCs/>
          <w:color w:val="000000"/>
          <w:sz w:val="24"/>
          <w:szCs w:val="20"/>
          <w:lang w:eastAsia="zh-CN"/>
        </w:rPr>
        <w:t>七</w:t>
      </w:r>
      <w:r>
        <w:rPr>
          <w:rFonts w:ascii="仿宋" w:eastAsia="仿宋" w:hAnsi="仿宋" w:cs="仿宋" w:hint="eastAsia"/>
          <w:bCs/>
          <w:color w:val="000000"/>
          <w:sz w:val="24"/>
          <w:szCs w:val="20"/>
          <w:lang w:eastAsia="zh-CN"/>
        </w:rPr>
        <w:t>）违约责任：因中标人未能履行服务承诺或备件迟延到达导致故障超时未排除并造成医疗业务中断的，采购人有权按违约条款扣减维保费用；发生严重事故的，采购人有权解除合同并追究赔偿。</w:t>
      </w:r>
    </w:p>
    <w:p w:rsidR="0098285A" w:rsidRDefault="0098285A">
      <w:pPr>
        <w:spacing w:before="160" w:after="80" w:line="560" w:lineRule="exact"/>
        <w:ind w:firstLine="640"/>
        <w:rPr>
          <w:rFonts w:ascii="仿宋" w:eastAsia="仿宋" w:hAnsi="仿宋" w:cs="仿宋"/>
          <w:bCs/>
          <w:color w:val="000000"/>
          <w:sz w:val="24"/>
          <w:szCs w:val="20"/>
          <w:lang w:eastAsia="zh-CN"/>
        </w:rPr>
      </w:pPr>
    </w:p>
    <w:p w:rsidR="0098285A" w:rsidRDefault="008C5EAD">
      <w:pPr>
        <w:rPr>
          <w:rFonts w:ascii="仿宋" w:eastAsia="仿宋" w:hAnsi="仿宋" w:cs="仿宋"/>
          <w:bCs/>
          <w:color w:val="000000"/>
          <w:sz w:val="24"/>
          <w:szCs w:val="20"/>
          <w:lang w:eastAsia="zh-CN"/>
        </w:rPr>
      </w:pPr>
      <w:r>
        <w:rPr>
          <w:rFonts w:ascii="仿宋" w:eastAsia="仿宋" w:hAnsi="仿宋" w:cs="仿宋" w:hint="eastAsia"/>
          <w:bCs/>
          <w:color w:val="000000"/>
          <w:sz w:val="24"/>
          <w:szCs w:val="20"/>
          <w:lang w:eastAsia="zh-CN"/>
        </w:rPr>
        <w:br w:type="page"/>
      </w:r>
    </w:p>
    <w:p w:rsidR="0098285A" w:rsidRDefault="008C5EAD">
      <w:pPr>
        <w:spacing w:line="360" w:lineRule="auto"/>
        <w:rPr>
          <w:rFonts w:ascii="仿宋" w:eastAsia="仿宋" w:hAnsi="仿宋" w:cs="仿宋"/>
          <w:b/>
        </w:rPr>
      </w:pPr>
      <w:r>
        <w:rPr>
          <w:rFonts w:ascii="仿宋" w:eastAsia="仿宋" w:hAnsi="仿宋" w:cs="仿宋" w:hint="eastAsia"/>
          <w:b/>
        </w:rPr>
        <w:lastRenderedPageBreak/>
        <w:t>附件一：工作考核表</w:t>
      </w:r>
    </w:p>
    <w:tbl>
      <w:tblPr>
        <w:tblW w:w="4997" w:type="pct"/>
        <w:tblCellMar>
          <w:top w:w="15" w:type="dxa"/>
        </w:tblCellMar>
        <w:tblLook w:val="04A0" w:firstRow="1" w:lastRow="0" w:firstColumn="1" w:lastColumn="0" w:noHBand="0" w:noVBand="1"/>
      </w:tblPr>
      <w:tblGrid>
        <w:gridCol w:w="1627"/>
        <w:gridCol w:w="1480"/>
        <w:gridCol w:w="654"/>
        <w:gridCol w:w="3385"/>
        <w:gridCol w:w="721"/>
        <w:gridCol w:w="1188"/>
      </w:tblGrid>
      <w:tr w:rsidR="0098285A">
        <w:trPr>
          <w:trHeight w:val="23"/>
        </w:trPr>
        <w:tc>
          <w:tcPr>
            <w:tcW w:w="899" w:type="pct"/>
            <w:tcBorders>
              <w:top w:val="single" w:sz="4" w:space="0" w:color="auto"/>
              <w:left w:val="single" w:sz="4" w:space="0" w:color="auto"/>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项目名称</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98285A" w:rsidRDefault="0098285A">
            <w:pPr>
              <w:spacing w:after="0" w:line="240" w:lineRule="auto"/>
              <w:jc w:val="center"/>
              <w:rPr>
                <w:rFonts w:ascii="仿宋" w:eastAsia="仿宋" w:hAnsi="仿宋" w:cs="仿宋"/>
                <w:b/>
                <w:bCs/>
                <w:color w:val="000000"/>
                <w:sz w:val="21"/>
                <w:szCs w:val="21"/>
              </w:rPr>
            </w:pPr>
          </w:p>
        </w:tc>
      </w:tr>
      <w:tr w:rsidR="0098285A">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服务内容</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98285A" w:rsidRDefault="0098285A">
            <w:pPr>
              <w:spacing w:after="0" w:line="240" w:lineRule="auto"/>
              <w:jc w:val="center"/>
              <w:rPr>
                <w:rFonts w:ascii="仿宋" w:eastAsia="仿宋" w:hAnsi="仿宋" w:cs="仿宋"/>
                <w:color w:val="000000"/>
                <w:sz w:val="21"/>
                <w:szCs w:val="21"/>
              </w:rPr>
            </w:pPr>
          </w:p>
        </w:tc>
      </w:tr>
      <w:tr w:rsidR="0098285A">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承建单位名称</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98285A">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考核时间</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98285A">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医院项目负责人</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98285A">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承建单位项目负责人</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98285A">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类别</w:t>
            </w:r>
          </w:p>
        </w:tc>
        <w:tc>
          <w:tcPr>
            <w:tcW w:w="817" w:type="pct"/>
            <w:tcBorders>
              <w:top w:val="nil"/>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考核项目</w:t>
            </w:r>
          </w:p>
        </w:tc>
        <w:tc>
          <w:tcPr>
            <w:tcW w:w="361" w:type="pct"/>
            <w:tcBorders>
              <w:top w:val="nil"/>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分值</w:t>
            </w:r>
          </w:p>
        </w:tc>
        <w:tc>
          <w:tcPr>
            <w:tcW w:w="1869" w:type="pct"/>
            <w:tcBorders>
              <w:top w:val="nil"/>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lang w:eastAsia="zh-CN"/>
              </w:rPr>
            </w:pPr>
            <w:r>
              <w:rPr>
                <w:rFonts w:ascii="仿宋" w:eastAsia="仿宋" w:hAnsi="仿宋" w:cs="仿宋" w:hint="eastAsia"/>
                <w:b/>
                <w:bCs/>
                <w:color w:val="000000"/>
                <w:sz w:val="21"/>
                <w:szCs w:val="21"/>
                <w:lang w:eastAsia="zh-CN"/>
              </w:rPr>
              <w:t>考核标准</w:t>
            </w:r>
            <w:r>
              <w:rPr>
                <w:rFonts w:ascii="仿宋" w:eastAsia="仿宋" w:hAnsi="仿宋" w:cs="仿宋" w:hint="eastAsia"/>
                <w:b/>
                <w:bCs/>
                <w:color w:val="000000"/>
                <w:sz w:val="21"/>
                <w:szCs w:val="21"/>
                <w:lang w:eastAsia="zh-CN"/>
              </w:rPr>
              <w:t>(</w:t>
            </w:r>
            <w:r>
              <w:rPr>
                <w:rFonts w:ascii="仿宋" w:eastAsia="仿宋" w:hAnsi="仿宋" w:cs="仿宋" w:hint="eastAsia"/>
                <w:b/>
                <w:bCs/>
                <w:color w:val="000000"/>
                <w:sz w:val="21"/>
                <w:szCs w:val="21"/>
                <w:lang w:eastAsia="zh-CN"/>
              </w:rPr>
              <w:t>若项目不涉及，则不扣分</w:t>
            </w:r>
            <w:r>
              <w:rPr>
                <w:rFonts w:ascii="仿宋" w:eastAsia="仿宋" w:hAnsi="仿宋" w:cs="仿宋" w:hint="eastAsia"/>
                <w:b/>
                <w:bCs/>
                <w:color w:val="000000"/>
                <w:sz w:val="21"/>
                <w:szCs w:val="21"/>
                <w:lang w:eastAsia="zh-CN"/>
              </w:rPr>
              <w:t>)</w:t>
            </w:r>
          </w:p>
        </w:tc>
        <w:tc>
          <w:tcPr>
            <w:tcW w:w="398" w:type="pct"/>
            <w:tcBorders>
              <w:top w:val="nil"/>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得分</w:t>
            </w:r>
          </w:p>
        </w:tc>
        <w:tc>
          <w:tcPr>
            <w:tcW w:w="654" w:type="pct"/>
            <w:tcBorders>
              <w:top w:val="nil"/>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问题及整改要求</w:t>
            </w:r>
          </w:p>
        </w:tc>
      </w:tr>
      <w:tr w:rsidR="0098285A">
        <w:trPr>
          <w:trHeight w:val="23"/>
        </w:trPr>
        <w:tc>
          <w:tcPr>
            <w:tcW w:w="899" w:type="pct"/>
            <w:vMerge w:val="restart"/>
            <w:tcBorders>
              <w:top w:val="nil"/>
              <w:left w:val="single" w:sz="4" w:space="0" w:color="auto"/>
              <w:bottom w:val="single" w:sz="4" w:space="0" w:color="000000"/>
              <w:right w:val="single" w:sz="4" w:space="0" w:color="auto"/>
            </w:tcBorders>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服务能力</w:t>
            </w:r>
          </w:p>
        </w:tc>
        <w:tc>
          <w:tcPr>
            <w:tcW w:w="817"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运维单位应具备运维服务技术能力。</w:t>
            </w:r>
          </w:p>
        </w:tc>
        <w:tc>
          <w:tcPr>
            <w:tcW w:w="361"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10</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运维单位未解决实际技术问题得，每次扣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98285A">
        <w:trPr>
          <w:trHeight w:val="23"/>
        </w:trPr>
        <w:tc>
          <w:tcPr>
            <w:tcW w:w="899" w:type="pct"/>
            <w:vMerge/>
            <w:tcBorders>
              <w:top w:val="nil"/>
              <w:left w:val="single" w:sz="4" w:space="0" w:color="auto"/>
              <w:bottom w:val="single" w:sz="4" w:space="0" w:color="000000"/>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遇重大故障，运维单位未提供二线技术支撑得，每次扣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r>
      <w:tr w:rsidR="0098285A">
        <w:trPr>
          <w:trHeight w:val="23"/>
        </w:trPr>
        <w:tc>
          <w:tcPr>
            <w:tcW w:w="899" w:type="pct"/>
            <w:vMerge/>
            <w:tcBorders>
              <w:top w:val="nil"/>
              <w:left w:val="single" w:sz="4" w:space="0" w:color="auto"/>
              <w:bottom w:val="single" w:sz="4" w:space="0" w:color="000000"/>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关键人员流失。</w:t>
            </w:r>
          </w:p>
        </w:tc>
        <w:tc>
          <w:tcPr>
            <w:tcW w:w="361" w:type="pct"/>
            <w:tcBorders>
              <w:top w:val="nil"/>
              <w:left w:val="nil"/>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5</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每发生一人次人员流动</w:t>
            </w:r>
            <w:r>
              <w:rPr>
                <w:rFonts w:ascii="仿宋" w:eastAsia="仿宋" w:hAnsi="仿宋" w:cs="仿宋" w:hint="eastAsia"/>
                <w:color w:val="000000"/>
                <w:sz w:val="21"/>
                <w:szCs w:val="21"/>
                <w:lang w:eastAsia="zh-CN"/>
              </w:rPr>
              <w:t>(</w:t>
            </w:r>
            <w:r>
              <w:rPr>
                <w:rFonts w:ascii="仿宋" w:eastAsia="仿宋" w:hAnsi="仿宋" w:cs="仿宋" w:hint="eastAsia"/>
                <w:color w:val="000000"/>
                <w:sz w:val="21"/>
                <w:szCs w:val="21"/>
                <w:lang w:eastAsia="zh-CN"/>
              </w:rPr>
              <w:t>变更</w:t>
            </w:r>
            <w:r>
              <w:rPr>
                <w:rFonts w:ascii="仿宋" w:eastAsia="仿宋" w:hAnsi="仿宋" w:cs="仿宋" w:hint="eastAsia"/>
                <w:color w:val="000000"/>
                <w:sz w:val="21"/>
                <w:szCs w:val="21"/>
                <w:lang w:eastAsia="zh-CN"/>
              </w:rPr>
              <w:t>)</w:t>
            </w:r>
            <w:r>
              <w:rPr>
                <w:rFonts w:ascii="仿宋" w:eastAsia="仿宋" w:hAnsi="仿宋" w:cs="仿宋" w:hint="eastAsia"/>
                <w:color w:val="000000"/>
                <w:sz w:val="21"/>
                <w:szCs w:val="21"/>
                <w:lang w:eastAsia="zh-CN"/>
              </w:rPr>
              <w:t>扣</w:t>
            </w: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98285A">
        <w:trPr>
          <w:trHeight w:val="23"/>
        </w:trPr>
        <w:tc>
          <w:tcPr>
            <w:tcW w:w="899" w:type="pct"/>
            <w:vMerge/>
            <w:tcBorders>
              <w:top w:val="nil"/>
              <w:left w:val="single" w:sz="4" w:space="0" w:color="auto"/>
              <w:bottom w:val="single" w:sz="4" w:space="0" w:color="000000"/>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维保期间不得发生重大安全事故。</w:t>
            </w:r>
          </w:p>
        </w:tc>
        <w:tc>
          <w:tcPr>
            <w:tcW w:w="361" w:type="pct"/>
            <w:tcBorders>
              <w:top w:val="nil"/>
              <w:left w:val="nil"/>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10</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出现重大安全事故的，扣</w:t>
            </w:r>
            <w:r>
              <w:rPr>
                <w:rFonts w:ascii="仿宋" w:eastAsia="仿宋" w:hAnsi="仿宋" w:cs="仿宋" w:hint="eastAsia"/>
                <w:color w:val="000000"/>
                <w:sz w:val="21"/>
                <w:szCs w:val="21"/>
                <w:lang w:eastAsia="zh-CN"/>
              </w:rPr>
              <w:t>10</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98285A">
        <w:trPr>
          <w:trHeight w:val="23"/>
        </w:trPr>
        <w:tc>
          <w:tcPr>
            <w:tcW w:w="899" w:type="pct"/>
            <w:vMerge w:val="restart"/>
            <w:tcBorders>
              <w:top w:val="nil"/>
              <w:left w:val="single" w:sz="4" w:space="0" w:color="auto"/>
              <w:bottom w:val="single" w:sz="4" w:space="0" w:color="000000"/>
              <w:right w:val="single" w:sz="4" w:space="0" w:color="auto"/>
            </w:tcBorders>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服务质量</w:t>
            </w:r>
          </w:p>
        </w:tc>
        <w:tc>
          <w:tcPr>
            <w:tcW w:w="817"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在医院迎接重大检查或重大生产保障期间提供运维保障。</w:t>
            </w:r>
          </w:p>
        </w:tc>
        <w:tc>
          <w:tcPr>
            <w:tcW w:w="361" w:type="pct"/>
            <w:tcBorders>
              <w:top w:val="nil"/>
              <w:left w:val="nil"/>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10</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重要保障时期，未配合开展运维保障工作的，每次扣</w:t>
            </w:r>
            <w:r>
              <w:rPr>
                <w:rFonts w:ascii="仿宋" w:eastAsia="仿宋" w:hAnsi="仿宋" w:cs="仿宋" w:hint="eastAsia"/>
                <w:color w:val="000000"/>
                <w:sz w:val="21"/>
                <w:szCs w:val="21"/>
                <w:lang w:eastAsia="zh-CN"/>
              </w:rPr>
              <w:t>10</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98285A">
        <w:trPr>
          <w:trHeight w:val="23"/>
        </w:trPr>
        <w:tc>
          <w:tcPr>
            <w:tcW w:w="899" w:type="pct"/>
            <w:vMerge/>
            <w:tcBorders>
              <w:top w:val="nil"/>
              <w:left w:val="single" w:sz="4" w:space="0" w:color="auto"/>
              <w:bottom w:val="single" w:sz="4" w:space="0" w:color="000000"/>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发生故障事件或紧急事故时，维保单位应有处置记录或故障处置报告。</w:t>
            </w:r>
          </w:p>
        </w:tc>
        <w:tc>
          <w:tcPr>
            <w:tcW w:w="361"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13</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未如实填写记录或记录填写不全的，一次扣</w:t>
            </w: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分。</w:t>
            </w:r>
          </w:p>
        </w:tc>
        <w:tc>
          <w:tcPr>
            <w:tcW w:w="398"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98285A">
        <w:trPr>
          <w:trHeight w:val="23"/>
        </w:trPr>
        <w:tc>
          <w:tcPr>
            <w:tcW w:w="899" w:type="pct"/>
            <w:vMerge/>
            <w:tcBorders>
              <w:top w:val="nil"/>
              <w:left w:val="single" w:sz="4" w:space="0" w:color="auto"/>
              <w:bottom w:val="single" w:sz="4" w:space="0" w:color="000000"/>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发现无法处理的问题不及时上报甲方的，每次扣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r>
      <w:tr w:rsidR="0098285A">
        <w:trPr>
          <w:trHeight w:val="23"/>
        </w:trPr>
        <w:tc>
          <w:tcPr>
            <w:tcW w:w="899" w:type="pct"/>
            <w:vMerge/>
            <w:tcBorders>
              <w:top w:val="nil"/>
              <w:left w:val="single" w:sz="4" w:space="0" w:color="auto"/>
              <w:bottom w:val="single" w:sz="4" w:space="0" w:color="000000"/>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3.</w:t>
            </w:r>
            <w:r>
              <w:rPr>
                <w:rFonts w:ascii="仿宋" w:eastAsia="仿宋" w:hAnsi="仿宋" w:cs="仿宋" w:hint="eastAsia"/>
                <w:color w:val="000000"/>
                <w:sz w:val="21"/>
                <w:szCs w:val="21"/>
                <w:lang w:eastAsia="zh-CN"/>
              </w:rPr>
              <w:t>发生重大事故未及时上报管理人员的，每次扣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r>
      <w:tr w:rsidR="0098285A">
        <w:trPr>
          <w:trHeight w:val="23"/>
        </w:trPr>
        <w:tc>
          <w:tcPr>
            <w:tcW w:w="899" w:type="pct"/>
            <w:vMerge/>
            <w:tcBorders>
              <w:top w:val="nil"/>
              <w:left w:val="single" w:sz="4" w:space="0" w:color="auto"/>
              <w:bottom w:val="single" w:sz="4" w:space="0" w:color="000000"/>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定期巡检</w:t>
            </w:r>
          </w:p>
        </w:tc>
        <w:tc>
          <w:tcPr>
            <w:tcW w:w="361" w:type="pct"/>
            <w:tcBorders>
              <w:top w:val="nil"/>
              <w:left w:val="nil"/>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12</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lang w:eastAsia="zh-CN"/>
              </w:rPr>
              <w:t>完成每日的信息设备、预防性维护、配置变更管理、信息资产清理等任务，合同期内出具</w:t>
            </w:r>
            <w:r>
              <w:rPr>
                <w:rFonts w:ascii="仿宋" w:eastAsia="仿宋" w:hAnsi="仿宋" w:cs="仿宋" w:hint="eastAsia"/>
                <w:color w:val="000000"/>
                <w:sz w:val="21"/>
                <w:szCs w:val="21"/>
                <w:lang w:eastAsia="zh-CN"/>
              </w:rPr>
              <w:t>12</w:t>
            </w:r>
            <w:r>
              <w:rPr>
                <w:rFonts w:ascii="仿宋" w:eastAsia="仿宋" w:hAnsi="仿宋" w:cs="仿宋" w:hint="eastAsia"/>
                <w:color w:val="000000"/>
                <w:sz w:val="21"/>
                <w:szCs w:val="21"/>
                <w:lang w:eastAsia="zh-CN"/>
              </w:rPr>
              <w:t>份月度巡检报告。</w:t>
            </w:r>
            <w:r>
              <w:rPr>
                <w:rFonts w:ascii="仿宋" w:eastAsia="仿宋" w:hAnsi="仿宋" w:cs="仿宋" w:hint="eastAsia"/>
                <w:color w:val="000000"/>
                <w:sz w:val="21"/>
                <w:szCs w:val="21"/>
              </w:rPr>
              <w:t>每少一份扣</w:t>
            </w:r>
            <w:r>
              <w:rPr>
                <w:rFonts w:ascii="仿宋" w:eastAsia="仿宋" w:hAnsi="仿宋" w:cs="仿宋" w:hint="eastAsia"/>
                <w:color w:val="000000"/>
                <w:sz w:val="21"/>
                <w:szCs w:val="21"/>
              </w:rPr>
              <w:t>1</w:t>
            </w:r>
            <w:r>
              <w:rPr>
                <w:rFonts w:ascii="仿宋" w:eastAsia="仿宋" w:hAnsi="仿宋" w:cs="仿宋" w:hint="eastAsia"/>
                <w:color w:val="000000"/>
                <w:sz w:val="21"/>
                <w:szCs w:val="21"/>
              </w:rPr>
              <w:t>分</w:t>
            </w:r>
          </w:p>
        </w:tc>
        <w:tc>
          <w:tcPr>
            <w:tcW w:w="398"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c>
          <w:tcPr>
            <w:tcW w:w="654"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98285A">
        <w:trPr>
          <w:trHeight w:val="23"/>
        </w:trPr>
        <w:tc>
          <w:tcPr>
            <w:tcW w:w="899" w:type="pct"/>
            <w:vMerge w:val="restart"/>
            <w:tcBorders>
              <w:top w:val="nil"/>
              <w:left w:val="single" w:sz="4" w:space="0" w:color="auto"/>
              <w:bottom w:val="single" w:sz="4" w:space="0" w:color="000000"/>
              <w:right w:val="single" w:sz="4" w:space="0" w:color="auto"/>
            </w:tcBorders>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服务态度</w:t>
            </w:r>
          </w:p>
        </w:tc>
        <w:tc>
          <w:tcPr>
            <w:tcW w:w="817"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与管理人员和报修人员积极沟通。</w:t>
            </w:r>
          </w:p>
        </w:tc>
        <w:tc>
          <w:tcPr>
            <w:tcW w:w="361" w:type="pct"/>
            <w:tcBorders>
              <w:top w:val="nil"/>
              <w:left w:val="nil"/>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5</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反馈不及时，态度较差，每次扣</w:t>
            </w:r>
            <w:r>
              <w:rPr>
                <w:rFonts w:ascii="仿宋" w:eastAsia="仿宋" w:hAnsi="仿宋" w:cs="仿宋" w:hint="eastAsia"/>
                <w:color w:val="000000"/>
                <w:sz w:val="21"/>
                <w:szCs w:val="21"/>
                <w:lang w:eastAsia="zh-CN"/>
              </w:rPr>
              <w:t>2.5</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98285A">
        <w:trPr>
          <w:trHeight w:val="23"/>
        </w:trPr>
        <w:tc>
          <w:tcPr>
            <w:tcW w:w="899" w:type="pct"/>
            <w:vMerge/>
            <w:tcBorders>
              <w:top w:val="nil"/>
              <w:left w:val="single" w:sz="4" w:space="0" w:color="auto"/>
              <w:bottom w:val="single" w:sz="4" w:space="0" w:color="000000"/>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值班室干净整洁。</w:t>
            </w:r>
          </w:p>
        </w:tc>
        <w:tc>
          <w:tcPr>
            <w:tcW w:w="361" w:type="pct"/>
            <w:tcBorders>
              <w:top w:val="nil"/>
              <w:left w:val="nil"/>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5</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值班室不整洁的，每发现一次扣</w:t>
            </w: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98285A">
        <w:trPr>
          <w:trHeight w:val="23"/>
        </w:trPr>
        <w:tc>
          <w:tcPr>
            <w:tcW w:w="899"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服务效率</w:t>
            </w:r>
          </w:p>
        </w:tc>
        <w:tc>
          <w:tcPr>
            <w:tcW w:w="817"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在合同约定响应时间内提供运维服务。</w:t>
            </w:r>
          </w:p>
        </w:tc>
        <w:tc>
          <w:tcPr>
            <w:tcW w:w="361"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20</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未按甲方规定时间响应运维需求的，每次扣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98285A">
        <w:trPr>
          <w:trHeight w:val="23"/>
        </w:trPr>
        <w:tc>
          <w:tcPr>
            <w:tcW w:w="899"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未按甲方规定时间响应运维需求的且出现事故，每次扣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r>
      <w:tr w:rsidR="0098285A">
        <w:trPr>
          <w:trHeight w:val="23"/>
        </w:trPr>
        <w:tc>
          <w:tcPr>
            <w:tcW w:w="899"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lastRenderedPageBreak/>
              <w:t>服务纪律</w:t>
            </w:r>
          </w:p>
        </w:tc>
        <w:tc>
          <w:tcPr>
            <w:tcW w:w="817"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严格确保值守、维修的时间响应要求。</w:t>
            </w:r>
          </w:p>
        </w:tc>
        <w:tc>
          <w:tcPr>
            <w:tcW w:w="361"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10</w:t>
            </w: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遇机房大型检修，未及时清理或要求检修方清理机房卫生的，每次扣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vMerge w:val="restart"/>
            <w:tcBorders>
              <w:top w:val="nil"/>
              <w:left w:val="single" w:sz="4" w:space="0" w:color="auto"/>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98285A">
        <w:trPr>
          <w:trHeight w:val="23"/>
        </w:trPr>
        <w:tc>
          <w:tcPr>
            <w:tcW w:w="899"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驻场人员未经甲方许可，擅自脱离岗位的，每次扣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r>
      <w:tr w:rsidR="0098285A">
        <w:trPr>
          <w:trHeight w:val="23"/>
        </w:trPr>
        <w:tc>
          <w:tcPr>
            <w:tcW w:w="899"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3.</w:t>
            </w:r>
            <w:r>
              <w:rPr>
                <w:rFonts w:ascii="仿宋" w:eastAsia="仿宋" w:hAnsi="仿宋" w:cs="仿宋" w:hint="eastAsia"/>
                <w:color w:val="000000"/>
                <w:sz w:val="21"/>
                <w:szCs w:val="21"/>
                <w:lang w:eastAsia="zh-CN"/>
              </w:rPr>
              <w:t>运维团队未保持手机畅通，甲方无法联系时，每次扣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98285A" w:rsidRDefault="0098285A">
            <w:pPr>
              <w:spacing w:after="0" w:line="240" w:lineRule="auto"/>
              <w:rPr>
                <w:rFonts w:ascii="仿宋" w:eastAsia="仿宋" w:hAnsi="仿宋" w:cs="仿宋"/>
                <w:color w:val="000000"/>
                <w:sz w:val="21"/>
                <w:szCs w:val="21"/>
                <w:lang w:eastAsia="zh-CN"/>
              </w:rPr>
            </w:pPr>
          </w:p>
        </w:tc>
      </w:tr>
      <w:tr w:rsidR="0098285A">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b/>
                <w:bCs/>
                <w:color w:val="43436B"/>
                <w:sz w:val="21"/>
                <w:szCs w:val="21"/>
              </w:rPr>
            </w:pPr>
            <w:r>
              <w:rPr>
                <w:rFonts w:ascii="仿宋" w:eastAsia="仿宋" w:hAnsi="仿宋" w:cs="仿宋" w:hint="eastAsia"/>
                <w:b/>
                <w:bCs/>
                <w:color w:val="43436B"/>
                <w:sz w:val="21"/>
                <w:szCs w:val="21"/>
              </w:rPr>
              <w:t>总分</w:t>
            </w:r>
          </w:p>
        </w:tc>
        <w:tc>
          <w:tcPr>
            <w:tcW w:w="4100" w:type="pct"/>
            <w:gridSpan w:val="5"/>
            <w:tcBorders>
              <w:top w:val="nil"/>
              <w:left w:val="nil"/>
              <w:bottom w:val="single" w:sz="4" w:space="0" w:color="auto"/>
              <w:right w:val="single" w:sz="4" w:space="0" w:color="auto"/>
            </w:tcBorders>
            <w:shd w:val="clear" w:color="000000" w:fill="FFFFFF"/>
            <w:vAlign w:val="center"/>
          </w:tcPr>
          <w:p w:rsidR="0098285A" w:rsidRDefault="008C5EAD">
            <w:pPr>
              <w:spacing w:after="0" w:line="240" w:lineRule="auto"/>
              <w:jc w:val="center"/>
              <w:rPr>
                <w:rFonts w:ascii="仿宋" w:eastAsia="仿宋" w:hAnsi="仿宋" w:cs="仿宋"/>
                <w:color w:val="43436B"/>
                <w:sz w:val="21"/>
                <w:szCs w:val="21"/>
              </w:rPr>
            </w:pPr>
            <w:r>
              <w:rPr>
                <w:rFonts w:ascii="仿宋" w:eastAsia="仿宋" w:hAnsi="仿宋" w:cs="仿宋" w:hint="eastAsia"/>
                <w:color w:val="43436B"/>
                <w:sz w:val="21"/>
                <w:szCs w:val="21"/>
              </w:rPr>
              <w:t xml:space="preserve">　</w:t>
            </w:r>
          </w:p>
          <w:p w:rsidR="0098285A" w:rsidRDefault="0098285A">
            <w:pPr>
              <w:spacing w:after="0" w:line="240" w:lineRule="auto"/>
              <w:jc w:val="center"/>
              <w:rPr>
                <w:rFonts w:ascii="仿宋" w:eastAsia="仿宋" w:hAnsi="仿宋" w:cs="仿宋"/>
                <w:color w:val="43436B"/>
                <w:sz w:val="21"/>
                <w:szCs w:val="21"/>
              </w:rPr>
            </w:pPr>
          </w:p>
        </w:tc>
      </w:tr>
      <w:tr w:rsidR="0098285A">
        <w:trPr>
          <w:trHeight w:val="23"/>
        </w:trPr>
        <w:tc>
          <w:tcPr>
            <w:tcW w:w="5000" w:type="pct"/>
            <w:gridSpan w:val="6"/>
            <w:tcBorders>
              <w:top w:val="single" w:sz="4" w:space="0" w:color="auto"/>
              <w:left w:val="single" w:sz="4" w:space="0" w:color="auto"/>
              <w:bottom w:val="single" w:sz="4" w:space="0" w:color="auto"/>
              <w:right w:val="single" w:sz="4" w:space="0" w:color="auto"/>
            </w:tcBorders>
            <w:noWrap/>
            <w:vAlign w:val="center"/>
          </w:tcPr>
          <w:p w:rsidR="0098285A" w:rsidRDefault="008C5EAD">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甲方主管部门签字（盖章）：</w:t>
            </w:r>
            <w:r>
              <w:rPr>
                <w:rFonts w:ascii="仿宋" w:eastAsia="仿宋" w:hAnsi="仿宋" w:cs="仿宋" w:hint="eastAsia"/>
                <w:color w:val="000000"/>
                <w:sz w:val="21"/>
                <w:szCs w:val="21"/>
                <w:lang w:eastAsia="zh-CN"/>
              </w:rPr>
              <w:t xml:space="preserve">                                    </w:t>
            </w:r>
            <w:r>
              <w:rPr>
                <w:rFonts w:ascii="仿宋" w:eastAsia="仿宋" w:hAnsi="仿宋" w:cs="仿宋" w:hint="eastAsia"/>
                <w:color w:val="000000"/>
                <w:sz w:val="21"/>
                <w:szCs w:val="21"/>
                <w:lang w:eastAsia="zh-CN"/>
              </w:rPr>
              <w:t>乙方签字（盖章）：</w:t>
            </w:r>
          </w:p>
        </w:tc>
      </w:tr>
    </w:tbl>
    <w:p w:rsidR="0098285A" w:rsidRDefault="0098285A">
      <w:pPr>
        <w:spacing w:before="160" w:after="80" w:line="560" w:lineRule="exact"/>
        <w:ind w:firstLine="640"/>
        <w:rPr>
          <w:rFonts w:ascii="仿宋" w:eastAsia="仿宋" w:hAnsi="仿宋" w:cs="仿宋"/>
          <w:bCs/>
          <w:color w:val="000000"/>
          <w:sz w:val="24"/>
          <w:szCs w:val="20"/>
          <w:lang w:eastAsia="zh-CN"/>
        </w:rPr>
      </w:pPr>
    </w:p>
    <w:p w:rsidR="0098285A" w:rsidRDefault="0098285A">
      <w:pPr>
        <w:spacing w:before="160" w:after="80" w:line="560" w:lineRule="exact"/>
        <w:ind w:firstLine="640"/>
        <w:rPr>
          <w:rFonts w:ascii="仿宋" w:eastAsia="仿宋" w:hAnsi="仿宋" w:cs="仿宋"/>
          <w:bCs/>
          <w:color w:val="000000"/>
          <w:sz w:val="24"/>
          <w:szCs w:val="20"/>
          <w:lang w:eastAsia="zh-CN"/>
        </w:rPr>
      </w:pPr>
    </w:p>
    <w:sectPr w:rsidR="0098285A">
      <w:pgSz w:w="11906" w:h="16838"/>
      <w:pgMar w:top="2098" w:right="1474" w:bottom="1985"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EAD" w:rsidRDefault="008C5EAD">
      <w:pPr>
        <w:spacing w:line="240" w:lineRule="auto"/>
      </w:pPr>
      <w:r>
        <w:separator/>
      </w:r>
    </w:p>
  </w:endnote>
  <w:endnote w:type="continuationSeparator" w:id="0">
    <w:p w:rsidR="008C5EAD" w:rsidRDefault="008C5E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00"/>
    <w:family w:val="auto"/>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 w:name="方正小标宋简体">
    <w:altName w:val="黑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EAD" w:rsidRDefault="008C5EAD">
      <w:pPr>
        <w:spacing w:after="0"/>
      </w:pPr>
      <w:r>
        <w:separator/>
      </w:r>
    </w:p>
  </w:footnote>
  <w:footnote w:type="continuationSeparator" w:id="0">
    <w:p w:rsidR="008C5EAD" w:rsidRDefault="008C5EAD">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FFFFF7E"/>
    <w:lvl w:ilvl="0">
      <w:start w:val="1"/>
      <w:numFmt w:val="decimal"/>
      <w:pStyle w:val="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8C5EAD"/>
    <w:rsid w:val="00961009"/>
    <w:rsid w:val="0098285A"/>
    <w:rsid w:val="00AA1D8D"/>
    <w:rsid w:val="00B47730"/>
    <w:rsid w:val="00CB0664"/>
    <w:rsid w:val="00D0554D"/>
    <w:rsid w:val="00FC693F"/>
    <w:rsid w:val="073A569E"/>
    <w:rsid w:val="0BCC0AE8"/>
    <w:rsid w:val="146C747A"/>
    <w:rsid w:val="18874E40"/>
    <w:rsid w:val="19AB7C0A"/>
    <w:rsid w:val="1B734DD2"/>
    <w:rsid w:val="26EC2C7A"/>
    <w:rsid w:val="2C102B57"/>
    <w:rsid w:val="2D293EEA"/>
    <w:rsid w:val="2FD249D3"/>
    <w:rsid w:val="35723D12"/>
    <w:rsid w:val="3CA77B68"/>
    <w:rsid w:val="3CC2593E"/>
    <w:rsid w:val="412F2E76"/>
    <w:rsid w:val="43C337E6"/>
    <w:rsid w:val="444924A1"/>
    <w:rsid w:val="46CD13B8"/>
    <w:rsid w:val="4A493F2B"/>
    <w:rsid w:val="4CD93EDD"/>
    <w:rsid w:val="514F69BA"/>
    <w:rsid w:val="52B93898"/>
    <w:rsid w:val="570404A9"/>
    <w:rsid w:val="58A84D1E"/>
    <w:rsid w:val="5B9E1831"/>
    <w:rsid w:val="5C473E4D"/>
    <w:rsid w:val="60232580"/>
    <w:rsid w:val="6A0D758C"/>
    <w:rsid w:val="6CDA2A58"/>
    <w:rsid w:val="6E6E53B2"/>
    <w:rsid w:val="710C4EAA"/>
    <w:rsid w:val="77AA4396"/>
    <w:rsid w:val="78EA1951"/>
    <w:rsid w:val="798945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1591F7"/>
  <w14:defaultImageDpi w14:val="300"/>
  <w15:docId w15:val="{D19BECE0-D784-477A-B065-C2AA42AF1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pacing w:after="200" w:line="276" w:lineRule="auto"/>
    </w:pPr>
    <w:rPr>
      <w:sz w:val="22"/>
      <w:szCs w:val="22"/>
      <w:lang w:eastAsia="en-US"/>
    </w:rPr>
  </w:style>
  <w:style w:type="paragraph" w:styleId="1">
    <w:name w:val="heading 1"/>
    <w:basedOn w:val="a1"/>
    <w:next w:val="a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0"/>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hAnsi="Courier"/>
      <w:lang w:eastAsia="en-US"/>
    </w:rPr>
  </w:style>
  <w:style w:type="paragraph" w:styleId="33">
    <w:name w:val="List 3"/>
    <w:basedOn w:val="a1"/>
    <w:uiPriority w:val="99"/>
    <w:unhideWhenUsed/>
    <w:qFormat/>
    <w:pPr>
      <w:ind w:left="1080" w:hanging="360"/>
      <w:contextualSpacing/>
    </w:pPr>
  </w:style>
  <w:style w:type="paragraph" w:styleId="2">
    <w:name w:val="List Number 2"/>
    <w:basedOn w:val="a1"/>
    <w:uiPriority w:val="99"/>
    <w:unhideWhenUsed/>
    <w:qFormat/>
    <w:pPr>
      <w:numPr>
        <w:numId w:val="1"/>
      </w:numPr>
      <w:contextualSpacing/>
    </w:pPr>
  </w:style>
  <w:style w:type="paragraph" w:styleId="a">
    <w:name w:val="List Number"/>
    <w:basedOn w:val="a1"/>
    <w:uiPriority w:val="99"/>
    <w:unhideWhenUsed/>
    <w:qFormat/>
    <w:pPr>
      <w:numPr>
        <w:numId w:val="2"/>
      </w:numPr>
      <w:contextualSpacing/>
    </w:pPr>
  </w:style>
  <w:style w:type="paragraph" w:styleId="a7">
    <w:name w:val="caption"/>
    <w:basedOn w:val="a1"/>
    <w:next w:val="a1"/>
    <w:uiPriority w:val="35"/>
    <w:semiHidden/>
    <w:unhideWhenUsed/>
    <w:qFormat/>
    <w:pPr>
      <w:spacing w:line="240" w:lineRule="auto"/>
    </w:pPr>
    <w:rPr>
      <w:b/>
      <w:bCs/>
      <w:color w:val="4F81BD" w:themeColor="accent1"/>
      <w:sz w:val="18"/>
      <w:szCs w:val="18"/>
    </w:rPr>
  </w:style>
  <w:style w:type="paragraph" w:styleId="a0">
    <w:name w:val="List Bullet"/>
    <w:basedOn w:val="a1"/>
    <w:uiPriority w:val="99"/>
    <w:unhideWhenUsed/>
    <w:qFormat/>
    <w:pPr>
      <w:numPr>
        <w:numId w:val="3"/>
      </w:numPr>
      <w:contextualSpacing/>
    </w:pPr>
  </w:style>
  <w:style w:type="paragraph" w:styleId="34">
    <w:name w:val="Body Text 3"/>
    <w:basedOn w:val="a1"/>
    <w:link w:val="35"/>
    <w:uiPriority w:val="99"/>
    <w:unhideWhenUsed/>
    <w:qFormat/>
    <w:pPr>
      <w:spacing w:after="120"/>
    </w:pPr>
    <w:rPr>
      <w:sz w:val="16"/>
      <w:szCs w:val="16"/>
    </w:rPr>
  </w:style>
  <w:style w:type="paragraph" w:styleId="30">
    <w:name w:val="List Bullet 3"/>
    <w:basedOn w:val="a1"/>
    <w:uiPriority w:val="99"/>
    <w:unhideWhenUsed/>
    <w:qFormat/>
    <w:pPr>
      <w:numPr>
        <w:numId w:val="4"/>
      </w:numPr>
      <w:contextualSpacing/>
    </w:pPr>
  </w:style>
  <w:style w:type="paragraph" w:styleId="a8">
    <w:name w:val="Body Text"/>
    <w:basedOn w:val="a1"/>
    <w:link w:val="a9"/>
    <w:uiPriority w:val="99"/>
    <w:unhideWhenUsed/>
    <w:qFormat/>
    <w:pPr>
      <w:spacing w:after="120"/>
    </w:pPr>
  </w:style>
  <w:style w:type="paragraph" w:styleId="3">
    <w:name w:val="List Number 3"/>
    <w:basedOn w:val="a1"/>
    <w:uiPriority w:val="99"/>
    <w:unhideWhenUsed/>
    <w:qFormat/>
    <w:pPr>
      <w:numPr>
        <w:numId w:val="5"/>
      </w:numPr>
      <w:contextualSpacing/>
    </w:pPr>
  </w:style>
  <w:style w:type="paragraph" w:styleId="23">
    <w:name w:val="List 2"/>
    <w:basedOn w:val="a1"/>
    <w:uiPriority w:val="99"/>
    <w:unhideWhenUsed/>
    <w:qFormat/>
    <w:pPr>
      <w:ind w:left="720" w:hanging="360"/>
      <w:contextualSpacing/>
    </w:pPr>
  </w:style>
  <w:style w:type="paragraph" w:styleId="aa">
    <w:name w:val="List Continue"/>
    <w:basedOn w:val="a1"/>
    <w:uiPriority w:val="99"/>
    <w:unhideWhenUsed/>
    <w:qFormat/>
    <w:pPr>
      <w:spacing w:after="120"/>
      <w:ind w:left="360"/>
      <w:contextualSpacing/>
    </w:pPr>
  </w:style>
  <w:style w:type="paragraph" w:styleId="20">
    <w:name w:val="List Bullet 2"/>
    <w:basedOn w:val="a1"/>
    <w:uiPriority w:val="99"/>
    <w:unhideWhenUsed/>
    <w:qFormat/>
    <w:pPr>
      <w:numPr>
        <w:numId w:val="6"/>
      </w:numPr>
      <w:contextualSpacing/>
    </w:pPr>
  </w:style>
  <w:style w:type="paragraph" w:styleId="ab">
    <w:name w:val="footer"/>
    <w:basedOn w:val="a1"/>
    <w:link w:val="ac"/>
    <w:uiPriority w:val="99"/>
    <w:unhideWhenUsed/>
    <w:qFormat/>
    <w:pPr>
      <w:tabs>
        <w:tab w:val="center" w:pos="4680"/>
        <w:tab w:val="right" w:pos="9360"/>
      </w:tabs>
      <w:spacing w:after="0" w:line="240" w:lineRule="auto"/>
    </w:pPr>
  </w:style>
  <w:style w:type="paragraph" w:styleId="ad">
    <w:name w:val="header"/>
    <w:basedOn w:val="a1"/>
    <w:link w:val="ae"/>
    <w:uiPriority w:val="99"/>
    <w:unhideWhenUsed/>
    <w:qFormat/>
    <w:pPr>
      <w:tabs>
        <w:tab w:val="center" w:pos="4680"/>
        <w:tab w:val="right" w:pos="9360"/>
      </w:tabs>
      <w:spacing w:after="0" w:line="240" w:lineRule="auto"/>
    </w:pPr>
  </w:style>
  <w:style w:type="paragraph" w:styleId="af">
    <w:name w:val="Subtitle"/>
    <w:basedOn w:val="a1"/>
    <w:next w:val="a1"/>
    <w:link w:val="af0"/>
    <w:uiPriority w:val="11"/>
    <w:qFormat/>
    <w:rPr>
      <w:rFonts w:asciiTheme="majorHAnsi" w:eastAsiaTheme="majorEastAsia" w:hAnsiTheme="majorHAnsi" w:cstheme="majorBidi"/>
      <w:i/>
      <w:iCs/>
      <w:color w:val="4F81BD" w:themeColor="accent1"/>
      <w:spacing w:val="15"/>
      <w:sz w:val="24"/>
      <w:szCs w:val="24"/>
    </w:rPr>
  </w:style>
  <w:style w:type="paragraph" w:styleId="af1">
    <w:name w:val="List"/>
    <w:basedOn w:val="a1"/>
    <w:uiPriority w:val="99"/>
    <w:unhideWhenUsed/>
    <w:qFormat/>
    <w:pPr>
      <w:ind w:left="360" w:hanging="360"/>
      <w:contextualSpacing/>
    </w:pPr>
  </w:style>
  <w:style w:type="paragraph" w:styleId="24">
    <w:name w:val="Body Text 2"/>
    <w:basedOn w:val="a1"/>
    <w:link w:val="25"/>
    <w:uiPriority w:val="99"/>
    <w:unhideWhenUsed/>
    <w:qFormat/>
    <w:pPr>
      <w:spacing w:after="120" w:line="480" w:lineRule="auto"/>
    </w:pPr>
  </w:style>
  <w:style w:type="paragraph" w:styleId="26">
    <w:name w:val="List Continue 2"/>
    <w:basedOn w:val="a1"/>
    <w:uiPriority w:val="99"/>
    <w:unhideWhenUsed/>
    <w:qFormat/>
    <w:pPr>
      <w:spacing w:after="120"/>
      <w:ind w:left="720"/>
      <w:contextualSpacing/>
    </w:pPr>
  </w:style>
  <w:style w:type="paragraph" w:styleId="36">
    <w:name w:val="List Continue 3"/>
    <w:basedOn w:val="a1"/>
    <w:uiPriority w:val="99"/>
    <w:unhideWhenUsed/>
    <w:qFormat/>
    <w:pPr>
      <w:spacing w:after="120"/>
      <w:ind w:left="1080"/>
      <w:contextualSpacing/>
    </w:pPr>
  </w:style>
  <w:style w:type="paragraph" w:styleId="af2">
    <w:name w:val="Title"/>
    <w:basedOn w:val="a1"/>
    <w:next w:val="a1"/>
    <w:link w:val="af3"/>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af4">
    <w:name w:val="Table Grid"/>
    <w:basedOn w:val="a3"/>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Light Shading"/>
    <w:basedOn w:val="a3"/>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6">
    <w:name w:val="Light List"/>
    <w:basedOn w:val="a3"/>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7">
    <w:name w:val="Light Grid"/>
    <w:basedOn w:val="a3"/>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1">
    <w:name w:val="Medium Shading 1"/>
    <w:basedOn w:val="a3"/>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8">
    <w:name w:val="Dark List"/>
    <w:basedOn w:val="a3"/>
    <w:uiPriority w:val="70"/>
    <w:qFormat/>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qFormat/>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qFormat/>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qFormat/>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qFormat/>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qFormat/>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qFormat/>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9">
    <w:name w:val="Colorful Shading"/>
    <w:basedOn w:val="a3"/>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a">
    <w:name w:val="Colorful List"/>
    <w:basedOn w:val="a3"/>
    <w:uiPriority w:val="72"/>
    <w:qFormat/>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qFormat/>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qFormat/>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qFormat/>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qFormat/>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b">
    <w:name w:val="Colorful Grid"/>
    <w:basedOn w:val="a3"/>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c">
    <w:name w:val="Strong"/>
    <w:basedOn w:val="a2"/>
    <w:uiPriority w:val="22"/>
    <w:qFormat/>
    <w:rPr>
      <w:b/>
      <w:bCs/>
    </w:rPr>
  </w:style>
  <w:style w:type="character" w:styleId="afd">
    <w:name w:val="Emphasis"/>
    <w:basedOn w:val="a2"/>
    <w:uiPriority w:val="20"/>
    <w:qFormat/>
    <w:rPr>
      <w:i/>
      <w:iCs/>
    </w:rPr>
  </w:style>
  <w:style w:type="character" w:customStyle="1" w:styleId="ae">
    <w:name w:val="页眉 字符"/>
    <w:basedOn w:val="a2"/>
    <w:link w:val="ad"/>
    <w:uiPriority w:val="99"/>
    <w:qFormat/>
  </w:style>
  <w:style w:type="character" w:customStyle="1" w:styleId="ac">
    <w:name w:val="页脚 字符"/>
    <w:basedOn w:val="a2"/>
    <w:link w:val="ab"/>
    <w:uiPriority w:val="99"/>
    <w:qFormat/>
  </w:style>
  <w:style w:type="paragraph" w:styleId="afe">
    <w:name w:val="No Spacing"/>
    <w:uiPriority w:val="1"/>
    <w:qFormat/>
    <w:rPr>
      <w:sz w:val="22"/>
      <w:szCs w:val="22"/>
      <w:lang w:eastAsia="en-US"/>
    </w:rPr>
  </w:style>
  <w:style w:type="character" w:customStyle="1" w:styleId="10">
    <w:name w:val="标题 1 字符"/>
    <w:basedOn w:val="a2"/>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qFormat/>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qFormat/>
    <w:rPr>
      <w:rFonts w:asciiTheme="majorHAnsi" w:eastAsiaTheme="majorEastAsia" w:hAnsiTheme="majorHAnsi" w:cstheme="majorBidi"/>
      <w:b/>
      <w:bCs/>
      <w:color w:val="4F81BD" w:themeColor="accent1"/>
    </w:rPr>
  </w:style>
  <w:style w:type="character" w:customStyle="1" w:styleId="af3">
    <w:name w:val="标题 字符"/>
    <w:basedOn w:val="a2"/>
    <w:link w:val="af2"/>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af0">
    <w:name w:val="副标题 字符"/>
    <w:basedOn w:val="a2"/>
    <w:link w:val="af"/>
    <w:uiPriority w:val="11"/>
    <w:qFormat/>
    <w:rPr>
      <w:rFonts w:asciiTheme="majorHAnsi" w:eastAsiaTheme="majorEastAsia" w:hAnsiTheme="majorHAnsi" w:cstheme="majorBidi"/>
      <w:i/>
      <w:iCs/>
      <w:color w:val="4F81BD" w:themeColor="accent1"/>
      <w:spacing w:val="15"/>
      <w:sz w:val="24"/>
      <w:szCs w:val="24"/>
    </w:rPr>
  </w:style>
  <w:style w:type="paragraph" w:styleId="aff">
    <w:name w:val="List Paragraph"/>
    <w:basedOn w:val="a1"/>
    <w:uiPriority w:val="34"/>
    <w:qFormat/>
    <w:pPr>
      <w:ind w:left="720"/>
      <w:contextualSpacing/>
    </w:pPr>
  </w:style>
  <w:style w:type="character" w:customStyle="1" w:styleId="a9">
    <w:name w:val="正文文本 字符"/>
    <w:basedOn w:val="a2"/>
    <w:link w:val="a8"/>
    <w:uiPriority w:val="99"/>
    <w:qFormat/>
  </w:style>
  <w:style w:type="character" w:customStyle="1" w:styleId="25">
    <w:name w:val="正文文本 2 字符"/>
    <w:basedOn w:val="a2"/>
    <w:link w:val="24"/>
    <w:uiPriority w:val="99"/>
    <w:qFormat/>
  </w:style>
  <w:style w:type="character" w:customStyle="1" w:styleId="35">
    <w:name w:val="正文文本 3 字符"/>
    <w:basedOn w:val="a2"/>
    <w:link w:val="34"/>
    <w:uiPriority w:val="99"/>
    <w:qFormat/>
    <w:rPr>
      <w:sz w:val="16"/>
      <w:szCs w:val="16"/>
    </w:rPr>
  </w:style>
  <w:style w:type="character" w:customStyle="1" w:styleId="a6">
    <w:name w:val="宏文本 字符"/>
    <w:basedOn w:val="a2"/>
    <w:link w:val="a5"/>
    <w:uiPriority w:val="99"/>
    <w:qFormat/>
    <w:rPr>
      <w:rFonts w:ascii="Courier" w:hAnsi="Courier"/>
      <w:sz w:val="20"/>
      <w:szCs w:val="20"/>
    </w:rPr>
  </w:style>
  <w:style w:type="paragraph" w:styleId="aff0">
    <w:name w:val="Quote"/>
    <w:basedOn w:val="a1"/>
    <w:next w:val="a1"/>
    <w:link w:val="aff1"/>
    <w:uiPriority w:val="29"/>
    <w:qFormat/>
    <w:rPr>
      <w:i/>
      <w:iCs/>
      <w:color w:val="000000" w:themeColor="text1"/>
    </w:rPr>
  </w:style>
  <w:style w:type="character" w:customStyle="1" w:styleId="aff1">
    <w:name w:val="引用 字符"/>
    <w:basedOn w:val="a2"/>
    <w:link w:val="aff0"/>
    <w:uiPriority w:val="29"/>
    <w:qFormat/>
    <w:rPr>
      <w:i/>
      <w:iCs/>
      <w:color w:val="000000" w:themeColor="text1"/>
    </w:rPr>
  </w:style>
  <w:style w:type="character" w:customStyle="1" w:styleId="40">
    <w:name w:val="标题 4 字符"/>
    <w:basedOn w:val="a2"/>
    <w:link w:val="4"/>
    <w:uiPriority w:val="9"/>
    <w:semiHidden/>
    <w:qFormat/>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qFormat/>
    <w:rPr>
      <w:rFonts w:asciiTheme="majorHAnsi" w:eastAsiaTheme="majorEastAsia" w:hAnsiTheme="majorHAnsi" w:cstheme="majorBidi"/>
      <w:color w:val="244061" w:themeColor="accent1" w:themeShade="80"/>
    </w:rPr>
  </w:style>
  <w:style w:type="character" w:customStyle="1" w:styleId="60">
    <w:name w:val="标题 6 字符"/>
    <w:basedOn w:val="a2"/>
    <w:link w:val="6"/>
    <w:uiPriority w:val="9"/>
    <w:semiHidden/>
    <w:qFormat/>
    <w:rPr>
      <w:rFonts w:asciiTheme="majorHAnsi" w:eastAsiaTheme="majorEastAsia" w:hAnsiTheme="majorHAnsi" w:cstheme="majorBidi"/>
      <w:i/>
      <w:iCs/>
      <w:color w:val="244061" w:themeColor="accent1" w:themeShade="80"/>
    </w:rPr>
  </w:style>
  <w:style w:type="character" w:customStyle="1" w:styleId="70">
    <w:name w:val="标题 7 字符"/>
    <w:basedOn w:val="a2"/>
    <w:link w:val="7"/>
    <w:uiPriority w:val="9"/>
    <w:semiHidden/>
    <w:qFormat/>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qFormat/>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qFormat/>
    <w:rPr>
      <w:rFonts w:asciiTheme="majorHAnsi" w:eastAsiaTheme="majorEastAsia" w:hAnsiTheme="majorHAnsi" w:cstheme="majorBidi"/>
      <w:i/>
      <w:iCs/>
      <w:color w:val="404040" w:themeColor="text1" w:themeTint="BF"/>
      <w:sz w:val="20"/>
      <w:szCs w:val="20"/>
    </w:rPr>
  </w:style>
  <w:style w:type="paragraph" w:styleId="aff2">
    <w:name w:val="Intense Quote"/>
    <w:basedOn w:val="a1"/>
    <w:next w:val="a1"/>
    <w:link w:val="aff3"/>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f3">
    <w:name w:val="明显引用 字符"/>
    <w:basedOn w:val="a2"/>
    <w:link w:val="aff2"/>
    <w:uiPriority w:val="30"/>
    <w:qFormat/>
    <w:rPr>
      <w:b/>
      <w:bCs/>
      <w:i/>
      <w:iCs/>
      <w:color w:val="4F81BD" w:themeColor="accent1"/>
    </w:rPr>
  </w:style>
  <w:style w:type="character" w:customStyle="1" w:styleId="14">
    <w:name w:val="不明显强调1"/>
    <w:basedOn w:val="a2"/>
    <w:uiPriority w:val="19"/>
    <w:qFormat/>
    <w:rPr>
      <w:i/>
      <w:iCs/>
      <w:color w:val="7F7F7F" w:themeColor="text1" w:themeTint="80"/>
    </w:rPr>
  </w:style>
  <w:style w:type="character" w:customStyle="1" w:styleId="15">
    <w:name w:val="明显强调1"/>
    <w:basedOn w:val="a2"/>
    <w:uiPriority w:val="21"/>
    <w:qFormat/>
    <w:rPr>
      <w:b/>
      <w:bCs/>
      <w:i/>
      <w:iCs/>
      <w:color w:val="4F81BD" w:themeColor="accent1"/>
    </w:rPr>
  </w:style>
  <w:style w:type="character" w:customStyle="1" w:styleId="16">
    <w:name w:val="不明显参考1"/>
    <w:basedOn w:val="a2"/>
    <w:uiPriority w:val="31"/>
    <w:qFormat/>
    <w:rPr>
      <w:smallCaps/>
      <w:color w:val="C0504D" w:themeColor="accent2"/>
      <w:u w:val="single"/>
    </w:rPr>
  </w:style>
  <w:style w:type="character" w:customStyle="1" w:styleId="17">
    <w:name w:val="明显参考1"/>
    <w:basedOn w:val="a2"/>
    <w:uiPriority w:val="32"/>
    <w:qFormat/>
    <w:rPr>
      <w:b/>
      <w:bCs/>
      <w:smallCaps/>
      <w:color w:val="C0504D" w:themeColor="accent2"/>
      <w:spacing w:val="5"/>
      <w:u w:val="single"/>
    </w:rPr>
  </w:style>
  <w:style w:type="character" w:customStyle="1" w:styleId="18">
    <w:name w:val="书籍标题1"/>
    <w:basedOn w:val="a2"/>
    <w:uiPriority w:val="33"/>
    <w:qFormat/>
    <w:rPr>
      <w:b/>
      <w:bCs/>
      <w:smallCaps/>
      <w:spacing w:val="5"/>
    </w:rPr>
  </w:style>
  <w:style w:type="paragraph" w:customStyle="1" w:styleId="TOC1">
    <w:name w:val="TOC 标题1"/>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DF3C6-6F79-4243-A5EC-F32343E94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541</Words>
  <Characters>3087</Characters>
  <Application>Microsoft Office Word</Application>
  <DocSecurity>0</DocSecurity>
  <Lines>25</Lines>
  <Paragraphs>7</Paragraphs>
  <ScaleCrop>false</ScaleCrop>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Administrator</cp:lastModifiedBy>
  <cp:revision>2</cp:revision>
  <dcterms:created xsi:type="dcterms:W3CDTF">2013-12-23T23:15:00Z</dcterms:created>
  <dcterms:modified xsi:type="dcterms:W3CDTF">2026-10-26T00:01:00Z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eyJoZGlkIjoiZDlkYTFiZTc3MTg0ZDNkZDIxMWQwNTI1OWNmZDA5N2QiLCJ1c2VySWQiOiI1ODA3MTAxNzIifQ==</vt:lpwstr>
  </property>
  <property fmtid="{D5CDD505-2E9C-101B-9397-08002B2CF9AE}" pid="3" name="KSOProductBuildVer">
    <vt:lpwstr>2052-12.1.0.29161</vt:lpwstr>
  </property>
  <property fmtid="{D5CDD505-2E9C-101B-9397-08002B2CF9AE}" pid="4" name="ICV">
    <vt:lpwstr>F35C876C6C8049C49F8099D762E8FE53_12</vt:lpwstr>
  </property>
</Properties>
</file>