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2D2F" w:rsidRDefault="00655E15">
      <w:pPr>
        <w:tabs>
          <w:tab w:val="left" w:pos="3120"/>
          <w:tab w:val="center" w:pos="4308"/>
        </w:tabs>
        <w:ind w:firstLine="0"/>
        <w:rPr>
          <w:rFonts w:asciiTheme="minorEastAsia" w:eastAsiaTheme="minorEastAsia" w:hAnsiTheme="minorEastAsia"/>
          <w:b/>
        </w:rPr>
      </w:pPr>
      <w:r>
        <w:rPr>
          <w:rFonts w:asciiTheme="minorEastAsia" w:eastAsiaTheme="minorEastAsia" w:hAnsiTheme="minorEastAsia"/>
          <w:b/>
        </w:rPr>
        <w:tab/>
      </w:r>
    </w:p>
    <w:p w:rsidR="00622D2F" w:rsidRDefault="00622D2F">
      <w:pPr>
        <w:tabs>
          <w:tab w:val="left" w:pos="3120"/>
          <w:tab w:val="center" w:pos="4308"/>
        </w:tabs>
        <w:ind w:firstLine="0"/>
        <w:rPr>
          <w:rFonts w:asciiTheme="minorEastAsia" w:eastAsiaTheme="minorEastAsia" w:hAnsiTheme="minorEastAsia"/>
          <w:b/>
        </w:rPr>
      </w:pPr>
    </w:p>
    <w:p w:rsidR="00622D2F" w:rsidRDefault="00622D2F">
      <w:pPr>
        <w:tabs>
          <w:tab w:val="left" w:pos="3120"/>
          <w:tab w:val="center" w:pos="4308"/>
        </w:tabs>
        <w:ind w:firstLine="0"/>
        <w:rPr>
          <w:rFonts w:asciiTheme="minorEastAsia" w:eastAsiaTheme="minorEastAsia" w:hAnsiTheme="minorEastAsia"/>
          <w:b/>
        </w:rPr>
      </w:pPr>
    </w:p>
    <w:p w:rsidR="00622D2F" w:rsidRDefault="00622D2F">
      <w:pPr>
        <w:tabs>
          <w:tab w:val="left" w:pos="3120"/>
          <w:tab w:val="center" w:pos="4308"/>
        </w:tabs>
        <w:ind w:firstLine="0"/>
        <w:rPr>
          <w:rFonts w:asciiTheme="minorEastAsia" w:eastAsiaTheme="minorEastAsia" w:hAnsiTheme="minorEastAsia"/>
          <w:b/>
        </w:rPr>
      </w:pPr>
    </w:p>
    <w:p w:rsidR="00622D2F" w:rsidRDefault="00622D2F">
      <w:pPr>
        <w:tabs>
          <w:tab w:val="left" w:pos="3120"/>
          <w:tab w:val="center" w:pos="4308"/>
        </w:tabs>
        <w:ind w:firstLine="0"/>
        <w:rPr>
          <w:rFonts w:asciiTheme="minorEastAsia" w:eastAsiaTheme="minorEastAsia" w:hAnsiTheme="minorEastAsia"/>
          <w:b/>
        </w:rPr>
      </w:pPr>
    </w:p>
    <w:p w:rsidR="00622D2F" w:rsidRDefault="00622D2F">
      <w:pPr>
        <w:tabs>
          <w:tab w:val="left" w:pos="3120"/>
          <w:tab w:val="center" w:pos="4308"/>
        </w:tabs>
        <w:ind w:firstLine="0"/>
        <w:rPr>
          <w:rFonts w:asciiTheme="minorEastAsia" w:eastAsiaTheme="minorEastAsia" w:hAnsiTheme="minorEastAsia"/>
          <w:b/>
        </w:rPr>
      </w:pPr>
    </w:p>
    <w:p w:rsidR="00622D2F" w:rsidRDefault="00622D2F">
      <w:pPr>
        <w:tabs>
          <w:tab w:val="left" w:pos="3120"/>
          <w:tab w:val="center" w:pos="4308"/>
        </w:tabs>
        <w:ind w:firstLine="0"/>
        <w:rPr>
          <w:rFonts w:asciiTheme="minorEastAsia" w:eastAsiaTheme="minorEastAsia" w:hAnsiTheme="minorEastAsia"/>
          <w:b/>
        </w:rPr>
      </w:pPr>
    </w:p>
    <w:p w:rsidR="00622D2F" w:rsidRDefault="00622D2F">
      <w:pPr>
        <w:tabs>
          <w:tab w:val="left" w:pos="3120"/>
          <w:tab w:val="center" w:pos="4308"/>
        </w:tabs>
        <w:ind w:firstLine="0"/>
        <w:rPr>
          <w:rFonts w:asciiTheme="minorEastAsia" w:eastAsiaTheme="minorEastAsia" w:hAnsiTheme="minorEastAsia"/>
          <w:b/>
        </w:rPr>
      </w:pPr>
    </w:p>
    <w:p w:rsidR="00622D2F" w:rsidRDefault="00655E15">
      <w:pPr>
        <w:ind w:left="420" w:firstLine="0"/>
        <w:jc w:val="center"/>
        <w:rPr>
          <w:rFonts w:asciiTheme="minorEastAsia" w:eastAsiaTheme="minorEastAsia" w:hAnsiTheme="minorEastAsia"/>
          <w:b/>
          <w:sz w:val="44"/>
          <w:szCs w:val="44"/>
        </w:rPr>
      </w:pPr>
      <w:r>
        <w:rPr>
          <w:rFonts w:asciiTheme="minorEastAsia" w:eastAsiaTheme="minorEastAsia" w:hAnsiTheme="minorEastAsia" w:hint="eastAsia"/>
          <w:b/>
          <w:sz w:val="44"/>
          <w:szCs w:val="44"/>
        </w:rPr>
        <w:t>武汉市洪山区人民法院张家湾法庭</w:t>
      </w:r>
    </w:p>
    <w:p w:rsidR="00622D2F" w:rsidRDefault="00655E15">
      <w:pPr>
        <w:ind w:left="420" w:firstLine="0"/>
        <w:jc w:val="center"/>
        <w:rPr>
          <w:rFonts w:asciiTheme="minorEastAsia" w:eastAsiaTheme="minorEastAsia" w:hAnsiTheme="minorEastAsia"/>
          <w:b/>
          <w:sz w:val="44"/>
          <w:szCs w:val="44"/>
        </w:rPr>
      </w:pPr>
      <w:r>
        <w:rPr>
          <w:rFonts w:asciiTheme="minorEastAsia" w:eastAsiaTheme="minorEastAsia" w:hAnsiTheme="minorEastAsia" w:hint="eastAsia"/>
          <w:b/>
          <w:sz w:val="44"/>
          <w:szCs w:val="44"/>
        </w:rPr>
        <w:t>2025年度</w:t>
      </w:r>
      <w:r w:rsidR="002B6069">
        <w:rPr>
          <w:rFonts w:asciiTheme="minorEastAsia" w:eastAsiaTheme="minorEastAsia" w:hAnsiTheme="minorEastAsia" w:hint="eastAsia"/>
          <w:b/>
          <w:sz w:val="44"/>
          <w:szCs w:val="44"/>
        </w:rPr>
        <w:t>无纸化扫描运行保障</w:t>
      </w:r>
      <w:r>
        <w:rPr>
          <w:rFonts w:asciiTheme="minorEastAsia" w:eastAsiaTheme="minorEastAsia" w:hAnsiTheme="minorEastAsia" w:hint="eastAsia"/>
          <w:b/>
          <w:sz w:val="44"/>
          <w:szCs w:val="44"/>
        </w:rPr>
        <w:t>采购需求</w:t>
      </w: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55E15">
      <w:pPr>
        <w:ind w:left="420" w:firstLine="0"/>
        <w:jc w:val="center"/>
        <w:rPr>
          <w:rFonts w:asciiTheme="minorEastAsia" w:eastAsiaTheme="minorEastAsia" w:hAnsiTheme="minorEastAsia"/>
          <w:sz w:val="32"/>
          <w:szCs w:val="32"/>
        </w:rPr>
      </w:pPr>
      <w:r>
        <w:rPr>
          <w:rFonts w:asciiTheme="minorEastAsia" w:eastAsiaTheme="minorEastAsia" w:hAnsiTheme="minorEastAsia" w:hint="eastAsia"/>
          <w:sz w:val="32"/>
          <w:szCs w:val="32"/>
        </w:rPr>
        <w:t>武汉市洪山区人民法院</w:t>
      </w:r>
    </w:p>
    <w:p w:rsidR="00622D2F" w:rsidRDefault="00655E15">
      <w:pPr>
        <w:ind w:left="420" w:firstLine="0"/>
        <w:jc w:val="center"/>
        <w:rPr>
          <w:rFonts w:asciiTheme="minorEastAsia" w:eastAsiaTheme="minorEastAsia" w:hAnsiTheme="minorEastAsia"/>
        </w:rPr>
        <w:sectPr w:rsidR="00622D2F">
          <w:headerReference w:type="default" r:id="rId8"/>
          <w:pgSz w:w="11906" w:h="16838"/>
          <w:pgMar w:top="1247" w:right="1588" w:bottom="1701" w:left="1701" w:header="851" w:footer="992" w:gutter="0"/>
          <w:pgNumType w:fmt="upperRoman" w:start="1"/>
          <w:cols w:space="425"/>
          <w:docGrid w:type="linesAndChars" w:linePitch="312"/>
        </w:sectPr>
      </w:pPr>
      <w:r>
        <w:rPr>
          <w:rFonts w:asciiTheme="minorEastAsia" w:eastAsiaTheme="minorEastAsia" w:hAnsiTheme="minorEastAsia" w:hint="eastAsia"/>
          <w:sz w:val="32"/>
          <w:szCs w:val="32"/>
        </w:rPr>
        <w:t>2025年6月</w:t>
      </w:r>
    </w:p>
    <w:p w:rsidR="00622D2F" w:rsidRDefault="00655E15" w:rsidP="00FD57E7">
      <w:pPr>
        <w:pStyle w:val="1"/>
      </w:pPr>
      <w:bookmarkStart w:id="0" w:name="_Toc18061"/>
      <w:r>
        <w:rPr>
          <w:rFonts w:hint="eastAsia"/>
        </w:rPr>
        <w:lastRenderedPageBreak/>
        <w:t>采购名称</w:t>
      </w:r>
      <w:bookmarkEnd w:id="0"/>
    </w:p>
    <w:p w:rsidR="00622D2F" w:rsidRPr="00016810" w:rsidRDefault="00655E15" w:rsidP="00016810">
      <w:pPr>
        <w:pStyle w:val="a3"/>
        <w:tabs>
          <w:tab w:val="left" w:pos="0"/>
          <w:tab w:val="left" w:pos="284"/>
          <w:tab w:val="left" w:pos="851"/>
        </w:tabs>
        <w:ind w:left="480" w:firstLineChars="142" w:firstLine="341"/>
        <w:rPr>
          <w:rFonts w:asciiTheme="minorEastAsia" w:eastAsiaTheme="minorEastAsia" w:hAnsiTheme="minorEastAsia"/>
          <w:color w:val="000000"/>
        </w:rPr>
      </w:pPr>
      <w:r>
        <w:rPr>
          <w:rFonts w:asciiTheme="minorEastAsia" w:eastAsiaTheme="minorEastAsia" w:hAnsiTheme="minorEastAsia" w:hint="eastAsia"/>
          <w:color w:val="000000"/>
        </w:rPr>
        <w:t>项目名称：武汉市洪山区人民法</w:t>
      </w:r>
      <w:r w:rsidR="002B6069">
        <w:rPr>
          <w:rFonts w:asciiTheme="minorEastAsia" w:eastAsiaTheme="minorEastAsia" w:hAnsiTheme="minorEastAsia" w:hint="eastAsia"/>
          <w:color w:val="000000"/>
        </w:rPr>
        <w:t>院</w:t>
      </w:r>
      <w:r w:rsidR="002B6069">
        <w:rPr>
          <w:rFonts w:asciiTheme="minorEastAsia" w:eastAsiaTheme="minorEastAsia" w:hAnsiTheme="minorEastAsia" w:hint="eastAsia"/>
          <w:color w:val="000000"/>
        </w:rPr>
        <w:t>2025</w:t>
      </w:r>
      <w:r w:rsidR="002B6069">
        <w:rPr>
          <w:rFonts w:asciiTheme="minorEastAsia" w:eastAsiaTheme="minorEastAsia" w:hAnsiTheme="minorEastAsia" w:hint="eastAsia"/>
          <w:color w:val="000000"/>
        </w:rPr>
        <w:t>年</w:t>
      </w:r>
      <w:r>
        <w:rPr>
          <w:rFonts w:asciiTheme="minorEastAsia" w:eastAsiaTheme="minorEastAsia" w:hAnsiTheme="minorEastAsia" w:hint="eastAsia"/>
          <w:color w:val="000000"/>
        </w:rPr>
        <w:t>张家湾法庭</w:t>
      </w:r>
      <w:r w:rsidR="002B6069">
        <w:rPr>
          <w:rFonts w:asciiTheme="minorEastAsia" w:eastAsiaTheme="minorEastAsia" w:hAnsiTheme="minorEastAsia" w:hint="eastAsia"/>
          <w:color w:val="000000"/>
        </w:rPr>
        <w:t>无纸化扫描运行保障</w:t>
      </w:r>
      <w:r>
        <w:rPr>
          <w:rFonts w:asciiTheme="minorEastAsia" w:eastAsiaTheme="minorEastAsia" w:hAnsiTheme="minorEastAsia" w:hint="eastAsia"/>
          <w:color w:val="000000"/>
        </w:rPr>
        <w:t>采购项目</w:t>
      </w:r>
    </w:p>
    <w:p w:rsidR="00622D2F" w:rsidRDefault="00655E15" w:rsidP="00FD57E7">
      <w:pPr>
        <w:pStyle w:val="1"/>
      </w:pPr>
      <w:bookmarkStart w:id="1" w:name="_Toc31260"/>
      <w:r>
        <w:rPr>
          <w:rFonts w:hint="eastAsia"/>
        </w:rPr>
        <w:t>采购预算</w:t>
      </w:r>
      <w:bookmarkEnd w:id="1"/>
    </w:p>
    <w:p w:rsidR="00622D2F" w:rsidRPr="00016810" w:rsidRDefault="00655E15" w:rsidP="00016810">
      <w:pPr>
        <w:pStyle w:val="a3"/>
        <w:tabs>
          <w:tab w:val="left" w:pos="0"/>
          <w:tab w:val="left" w:pos="284"/>
          <w:tab w:val="left" w:pos="851"/>
        </w:tabs>
        <w:ind w:left="480" w:firstLineChars="142" w:firstLine="341"/>
        <w:rPr>
          <w:rFonts w:asciiTheme="minorEastAsia" w:eastAsiaTheme="minorEastAsia" w:hAnsiTheme="minorEastAsia"/>
          <w:b/>
        </w:rPr>
      </w:pPr>
      <w:r>
        <w:rPr>
          <w:rFonts w:asciiTheme="minorEastAsia" w:eastAsiaTheme="minorEastAsia" w:hAnsiTheme="minorEastAsia" w:hint="eastAsia"/>
          <w:color w:val="000000"/>
        </w:rPr>
        <w:t>采购预算为人民币</w:t>
      </w:r>
      <w:r w:rsidR="002B6069">
        <w:rPr>
          <w:rFonts w:asciiTheme="minorEastAsia" w:eastAsiaTheme="minorEastAsia" w:hAnsiTheme="minorEastAsia" w:hint="eastAsia"/>
          <w:color w:val="000000"/>
          <w:highlight w:val="yellow"/>
        </w:rPr>
        <w:t>20</w:t>
      </w:r>
      <w:r w:rsidRPr="00016810">
        <w:rPr>
          <w:rFonts w:asciiTheme="minorEastAsia" w:eastAsiaTheme="minorEastAsia" w:hAnsiTheme="minorEastAsia" w:hint="eastAsia"/>
          <w:color w:val="000000"/>
          <w:highlight w:val="yellow"/>
        </w:rPr>
        <w:t>万元</w:t>
      </w:r>
      <w:r>
        <w:rPr>
          <w:rFonts w:asciiTheme="minorEastAsia" w:eastAsiaTheme="minorEastAsia" w:hAnsiTheme="minorEastAsia" w:hint="eastAsia"/>
          <w:color w:val="000000"/>
        </w:rPr>
        <w:t>；供应商报价超采购预算均为无效报价。</w:t>
      </w:r>
    </w:p>
    <w:p w:rsidR="00622D2F" w:rsidRDefault="00655E15" w:rsidP="00FD57E7">
      <w:pPr>
        <w:pStyle w:val="1"/>
      </w:pPr>
      <w:bookmarkStart w:id="2" w:name="_Toc2175"/>
      <w:r>
        <w:rPr>
          <w:rFonts w:hint="eastAsia"/>
        </w:rPr>
        <w:t>采购需求</w:t>
      </w:r>
      <w:bookmarkEnd w:id="2"/>
    </w:p>
    <w:p w:rsidR="00622D2F" w:rsidRDefault="00655E15" w:rsidP="00FD57E7">
      <w:pPr>
        <w:pStyle w:val="2"/>
      </w:pPr>
      <w:bookmarkStart w:id="3" w:name="_Toc2067"/>
      <w:r>
        <w:rPr>
          <w:rFonts w:hint="eastAsia"/>
        </w:rPr>
        <w:t>服务目标</w:t>
      </w:r>
      <w:bookmarkEnd w:id="3"/>
    </w:p>
    <w:p w:rsidR="00622D2F" w:rsidRPr="00016810" w:rsidRDefault="00655E15" w:rsidP="00016810">
      <w:pPr>
        <w:ind w:firstLine="560"/>
        <w:rPr>
          <w:rFonts w:ascii="宋体" w:hAnsi="宋体"/>
        </w:rPr>
      </w:pPr>
      <w:r>
        <w:rPr>
          <w:rFonts w:hint="eastAsia"/>
        </w:rPr>
        <w:t>无纸化办案是人民法院信息化</w:t>
      </w:r>
      <w:r>
        <w:t>4.0</w:t>
      </w:r>
      <w:r>
        <w:t>版的重要内容，最高人民法院《关于进一步加快推进人民法院电子卷宗随案同步生成和深度应用的通知》和《人民法院信息化建设五年发展规划</w:t>
      </w:r>
      <w:r>
        <w:t>2021-2025</w:t>
      </w:r>
      <w:r>
        <w:t>》中均对无纸化办案提出了明确要求，同时武汉市中级人民法院</w:t>
      </w:r>
      <w:r>
        <w:t>2023</w:t>
      </w:r>
      <w:r>
        <w:t>年也提出全市法院要初步实现全流程以电子卷为主，纸质卷为辅的案件办理模式。</w:t>
      </w:r>
      <w:r>
        <w:rPr>
          <w:rFonts w:hint="eastAsia"/>
        </w:rPr>
        <w:t>武汉市洪山区人</w:t>
      </w:r>
      <w:r>
        <w:t>民法院从</w:t>
      </w:r>
      <w:r>
        <w:t>2019</w:t>
      </w:r>
      <w:r>
        <w:t>年开始升级电子卷宗系统并推行电子卷宗随案同步生成和深度应用的办案模式，取得较好的应用效果。现全流程无纸化办案时机已经成熟，本项目将充分</w:t>
      </w:r>
      <w:proofErr w:type="gramStart"/>
      <w:r>
        <w:t>借鉴省</w:t>
      </w:r>
      <w:proofErr w:type="gramEnd"/>
      <w:r>
        <w:t>内外先行法院经验，</w:t>
      </w:r>
      <w:r>
        <w:t>“</w:t>
      </w:r>
      <w:r>
        <w:t>取</w:t>
      </w:r>
      <w:r>
        <w:rPr>
          <w:rFonts w:hint="eastAsia"/>
        </w:rPr>
        <w:t>长补短”，高起点高标准建立一套能切实</w:t>
      </w:r>
      <w:proofErr w:type="gramStart"/>
      <w:r>
        <w:rPr>
          <w:rFonts w:hint="eastAsia"/>
        </w:rPr>
        <w:t>带来成效</w:t>
      </w:r>
      <w:proofErr w:type="gramEnd"/>
      <w:r>
        <w:rPr>
          <w:rFonts w:hint="eastAsia"/>
        </w:rPr>
        <w:t>的以“电子卷宗”为核心，贯穿调、审、执一体化全流程无纸化办案体系，能够更好的服务群众、服务法官、服务管理。通过</w:t>
      </w:r>
      <w:proofErr w:type="gramStart"/>
      <w:r>
        <w:rPr>
          <w:rFonts w:hint="eastAsia"/>
        </w:rPr>
        <w:t>采购全</w:t>
      </w:r>
      <w:proofErr w:type="gramEnd"/>
      <w:r>
        <w:rPr>
          <w:rFonts w:hint="eastAsia"/>
        </w:rPr>
        <w:t>流程无纸化办案信息技术配套服务，将案件办理中产生的纸质材料同步电子化，电子卷宗随办案进程同步生成并线上流转，支撑办案人员线上阅卷、远程调解、电子质证、文书生成、电子送达，让办案人员专注核心事务，提高办案质效。</w:t>
      </w:r>
    </w:p>
    <w:p w:rsidR="00622D2F" w:rsidRDefault="00655E15" w:rsidP="00FD57E7">
      <w:pPr>
        <w:pStyle w:val="2"/>
      </w:pPr>
      <w:bookmarkStart w:id="4" w:name="_Toc22349"/>
      <w:r>
        <w:rPr>
          <w:rFonts w:hint="eastAsia"/>
        </w:rPr>
        <w:t>服务清单</w:t>
      </w:r>
      <w:bookmarkEnd w:id="4"/>
    </w:p>
    <w:tbl>
      <w:tblPr>
        <w:tblW w:w="9181" w:type="dxa"/>
        <w:jc w:val="center"/>
        <w:tblLayout w:type="fixed"/>
        <w:tblLook w:val="04A0" w:firstRow="1" w:lastRow="0" w:firstColumn="1" w:lastColumn="0" w:noHBand="0" w:noVBand="1"/>
      </w:tblPr>
      <w:tblGrid>
        <w:gridCol w:w="674"/>
        <w:gridCol w:w="1650"/>
        <w:gridCol w:w="2890"/>
        <w:gridCol w:w="1872"/>
        <w:gridCol w:w="2095"/>
      </w:tblGrid>
      <w:tr w:rsidR="00622D2F" w:rsidTr="00016810">
        <w:trPr>
          <w:trHeight w:val="373"/>
          <w:jc w:val="center"/>
        </w:trPr>
        <w:tc>
          <w:tcPr>
            <w:tcW w:w="674" w:type="dxa"/>
            <w:tcBorders>
              <w:top w:val="single" w:sz="6" w:space="0" w:color="auto"/>
              <w:left w:val="single" w:sz="6" w:space="0" w:color="auto"/>
              <w:bottom w:val="single" w:sz="6" w:space="0" w:color="auto"/>
              <w:right w:val="single" w:sz="6" w:space="0" w:color="auto"/>
            </w:tcBorders>
            <w:vAlign w:val="center"/>
          </w:tcPr>
          <w:p w:rsidR="00622D2F" w:rsidRDefault="00655E15">
            <w:pPr>
              <w:spacing w:line="240" w:lineRule="auto"/>
              <w:ind w:firstLine="0"/>
              <w:jc w:val="center"/>
              <w:rPr>
                <w:rFonts w:ascii="仿宋_GB2312" w:eastAsia="仿宋_GB2312" w:hAnsiTheme="minorEastAsia" w:cstheme="minorEastAsia"/>
                <w:b/>
                <w:color w:val="000000"/>
                <w:sz w:val="21"/>
              </w:rPr>
            </w:pPr>
            <w:r>
              <w:rPr>
                <w:rFonts w:ascii="仿宋_GB2312" w:eastAsia="仿宋_GB2312" w:hAnsiTheme="minorEastAsia" w:cstheme="minorEastAsia" w:hint="eastAsia"/>
                <w:b/>
                <w:color w:val="000000"/>
                <w:sz w:val="21"/>
              </w:rPr>
              <w:t>序号</w:t>
            </w:r>
          </w:p>
        </w:tc>
        <w:tc>
          <w:tcPr>
            <w:tcW w:w="1650" w:type="dxa"/>
            <w:tcBorders>
              <w:top w:val="single" w:sz="6" w:space="0" w:color="auto"/>
              <w:left w:val="single" w:sz="6" w:space="0" w:color="auto"/>
              <w:bottom w:val="single" w:sz="6" w:space="0" w:color="auto"/>
              <w:right w:val="single" w:sz="6" w:space="0" w:color="auto"/>
            </w:tcBorders>
            <w:vAlign w:val="center"/>
          </w:tcPr>
          <w:p w:rsidR="00622D2F" w:rsidRDefault="00655E15">
            <w:pPr>
              <w:spacing w:line="240" w:lineRule="auto"/>
              <w:ind w:firstLine="0"/>
              <w:jc w:val="center"/>
              <w:rPr>
                <w:rFonts w:ascii="仿宋_GB2312" w:eastAsia="仿宋_GB2312" w:hAnsiTheme="minorEastAsia" w:cstheme="minorEastAsia"/>
                <w:b/>
                <w:color w:val="000000"/>
                <w:sz w:val="21"/>
              </w:rPr>
            </w:pPr>
            <w:r>
              <w:rPr>
                <w:rFonts w:ascii="仿宋_GB2312" w:eastAsia="仿宋_GB2312" w:hAnsiTheme="minorEastAsia" w:cstheme="minorEastAsia" w:hint="eastAsia"/>
                <w:b/>
                <w:color w:val="000000"/>
                <w:sz w:val="21"/>
              </w:rPr>
              <w:t>名称</w:t>
            </w:r>
          </w:p>
        </w:tc>
        <w:tc>
          <w:tcPr>
            <w:tcW w:w="2890" w:type="dxa"/>
            <w:tcBorders>
              <w:top w:val="single" w:sz="6" w:space="0" w:color="auto"/>
              <w:left w:val="single" w:sz="6" w:space="0" w:color="auto"/>
              <w:bottom w:val="single" w:sz="6" w:space="0" w:color="auto"/>
              <w:right w:val="single" w:sz="4" w:space="0" w:color="auto"/>
            </w:tcBorders>
            <w:vAlign w:val="center"/>
          </w:tcPr>
          <w:p w:rsidR="00622D2F" w:rsidRDefault="00655E15">
            <w:pPr>
              <w:spacing w:line="240" w:lineRule="auto"/>
              <w:ind w:firstLine="0"/>
              <w:jc w:val="center"/>
              <w:rPr>
                <w:rFonts w:ascii="仿宋_GB2312" w:eastAsia="仿宋_GB2312" w:hAnsiTheme="minorEastAsia" w:cstheme="minorEastAsia"/>
                <w:b/>
                <w:color w:val="000000"/>
                <w:sz w:val="21"/>
              </w:rPr>
            </w:pPr>
            <w:r>
              <w:rPr>
                <w:rFonts w:ascii="仿宋_GB2312" w:eastAsia="仿宋_GB2312" w:hAnsiTheme="minorEastAsia" w:cstheme="minorEastAsia" w:hint="eastAsia"/>
                <w:b/>
                <w:color w:val="000000"/>
                <w:sz w:val="21"/>
              </w:rPr>
              <w:t>内容</w:t>
            </w:r>
          </w:p>
        </w:tc>
        <w:tc>
          <w:tcPr>
            <w:tcW w:w="1872" w:type="dxa"/>
            <w:tcBorders>
              <w:top w:val="single" w:sz="6" w:space="0" w:color="auto"/>
              <w:left w:val="single" w:sz="4" w:space="0" w:color="auto"/>
              <w:bottom w:val="single" w:sz="6" w:space="0" w:color="auto"/>
              <w:right w:val="single" w:sz="6" w:space="0" w:color="auto"/>
            </w:tcBorders>
            <w:vAlign w:val="center"/>
          </w:tcPr>
          <w:p w:rsidR="00622D2F" w:rsidRDefault="00655E15">
            <w:pPr>
              <w:spacing w:line="240" w:lineRule="auto"/>
              <w:ind w:firstLine="0"/>
              <w:jc w:val="center"/>
              <w:rPr>
                <w:rFonts w:ascii="仿宋_GB2312" w:eastAsia="仿宋_GB2312" w:hAnsiTheme="minorEastAsia" w:cstheme="minorEastAsia"/>
                <w:b/>
                <w:color w:val="000000"/>
                <w:sz w:val="21"/>
              </w:rPr>
            </w:pPr>
            <w:r>
              <w:rPr>
                <w:rFonts w:ascii="仿宋_GB2312" w:eastAsia="仿宋_GB2312" w:hAnsiTheme="minorEastAsia" w:cstheme="minorEastAsia" w:hint="eastAsia"/>
                <w:b/>
                <w:color w:val="000000"/>
                <w:sz w:val="21"/>
              </w:rPr>
              <w:t>说明</w:t>
            </w:r>
          </w:p>
        </w:tc>
        <w:tc>
          <w:tcPr>
            <w:tcW w:w="2095" w:type="dxa"/>
            <w:tcBorders>
              <w:top w:val="single" w:sz="6" w:space="0" w:color="auto"/>
              <w:left w:val="single" w:sz="6" w:space="0" w:color="auto"/>
              <w:bottom w:val="single" w:sz="6" w:space="0" w:color="auto"/>
              <w:right w:val="single" w:sz="6" w:space="0" w:color="auto"/>
            </w:tcBorders>
            <w:vAlign w:val="center"/>
          </w:tcPr>
          <w:p w:rsidR="00622D2F" w:rsidRDefault="00655E15" w:rsidP="00016810">
            <w:pPr>
              <w:spacing w:line="240" w:lineRule="auto"/>
              <w:ind w:firstLine="0"/>
              <w:jc w:val="center"/>
              <w:rPr>
                <w:rFonts w:ascii="仿宋_GB2312" w:eastAsia="仿宋_GB2312" w:hAnsiTheme="minorEastAsia" w:cstheme="minorEastAsia"/>
                <w:b/>
                <w:color w:val="000000"/>
                <w:sz w:val="21"/>
              </w:rPr>
            </w:pPr>
            <w:r>
              <w:rPr>
                <w:rFonts w:ascii="仿宋_GB2312" w:eastAsia="仿宋_GB2312" w:hAnsiTheme="minorEastAsia" w:cstheme="minorEastAsia" w:hint="eastAsia"/>
                <w:b/>
                <w:color w:val="000000"/>
                <w:sz w:val="21"/>
              </w:rPr>
              <w:t>最高限价（总计）</w:t>
            </w:r>
          </w:p>
        </w:tc>
      </w:tr>
      <w:tr w:rsidR="00622D2F" w:rsidTr="00016810">
        <w:trPr>
          <w:trHeight w:val="554"/>
          <w:jc w:val="center"/>
        </w:trPr>
        <w:tc>
          <w:tcPr>
            <w:tcW w:w="674" w:type="dxa"/>
            <w:tcBorders>
              <w:top w:val="single" w:sz="6" w:space="0" w:color="auto"/>
              <w:left w:val="single" w:sz="6" w:space="0" w:color="auto"/>
              <w:bottom w:val="single" w:sz="6" w:space="0" w:color="auto"/>
              <w:right w:val="single" w:sz="6" w:space="0" w:color="auto"/>
            </w:tcBorders>
            <w:vAlign w:val="center"/>
          </w:tcPr>
          <w:p w:rsidR="00622D2F" w:rsidRDefault="00655E15">
            <w:pPr>
              <w:spacing w:line="240" w:lineRule="auto"/>
              <w:ind w:firstLine="0"/>
              <w:jc w:val="center"/>
              <w:rPr>
                <w:rFonts w:ascii="仿宋_GB2312" w:eastAsia="仿宋_GB2312" w:hAnsiTheme="minorEastAsia" w:cstheme="minorEastAsia"/>
                <w:color w:val="000000"/>
                <w:sz w:val="21"/>
              </w:rPr>
            </w:pPr>
            <w:r>
              <w:rPr>
                <w:rFonts w:ascii="仿宋_GB2312" w:eastAsia="仿宋_GB2312" w:hAnsiTheme="minorEastAsia" w:cstheme="minorEastAsia" w:hint="eastAsia"/>
                <w:sz w:val="21"/>
              </w:rPr>
              <w:t>1</w:t>
            </w:r>
          </w:p>
        </w:tc>
        <w:tc>
          <w:tcPr>
            <w:tcW w:w="1650" w:type="dxa"/>
            <w:tcBorders>
              <w:top w:val="single" w:sz="6" w:space="0" w:color="auto"/>
              <w:left w:val="single" w:sz="6" w:space="0" w:color="auto"/>
              <w:bottom w:val="single" w:sz="6" w:space="0" w:color="auto"/>
              <w:right w:val="single" w:sz="6" w:space="0" w:color="auto"/>
            </w:tcBorders>
            <w:vAlign w:val="center"/>
          </w:tcPr>
          <w:p w:rsidR="00622D2F" w:rsidRDefault="00655E15">
            <w:pPr>
              <w:spacing w:line="240" w:lineRule="auto"/>
              <w:ind w:firstLine="0"/>
              <w:jc w:val="center"/>
              <w:rPr>
                <w:rFonts w:ascii="仿宋_GB2312" w:eastAsia="仿宋_GB2312" w:hAnsiTheme="minorEastAsia" w:cstheme="minorEastAsia"/>
                <w:color w:val="000000"/>
                <w:sz w:val="21"/>
              </w:rPr>
            </w:pPr>
            <w:r>
              <w:rPr>
                <w:rFonts w:ascii="仿宋_GB2312" w:eastAsia="仿宋_GB2312" w:hAnsiTheme="minorEastAsia" w:cstheme="minorEastAsia" w:hint="eastAsia"/>
                <w:color w:val="000000"/>
                <w:sz w:val="21"/>
              </w:rPr>
              <w:t>全流程无纸化办案技术服务</w:t>
            </w:r>
          </w:p>
        </w:tc>
        <w:tc>
          <w:tcPr>
            <w:tcW w:w="2890" w:type="dxa"/>
            <w:tcBorders>
              <w:top w:val="single" w:sz="6" w:space="0" w:color="auto"/>
              <w:left w:val="single" w:sz="6" w:space="0" w:color="auto"/>
              <w:bottom w:val="single" w:sz="6" w:space="0" w:color="auto"/>
              <w:right w:val="single" w:sz="4" w:space="0" w:color="auto"/>
            </w:tcBorders>
            <w:vAlign w:val="center"/>
          </w:tcPr>
          <w:p w:rsidR="00622D2F" w:rsidRDefault="00655E15">
            <w:pPr>
              <w:spacing w:line="240" w:lineRule="auto"/>
              <w:ind w:firstLine="0"/>
              <w:jc w:val="center"/>
              <w:rPr>
                <w:rFonts w:ascii="仿宋_GB2312" w:eastAsia="仿宋_GB2312" w:hAnsiTheme="minorEastAsia" w:cstheme="minorEastAsia"/>
                <w:color w:val="000000"/>
                <w:sz w:val="21"/>
              </w:rPr>
            </w:pPr>
            <w:r>
              <w:rPr>
                <w:rFonts w:ascii="仿宋_GB2312" w:eastAsia="仿宋_GB2312" w:hAnsiTheme="minorEastAsia" w:cstheme="minorEastAsia" w:hint="eastAsia"/>
                <w:color w:val="000000"/>
                <w:sz w:val="21"/>
              </w:rPr>
              <w:t>无纸化案件（除刑事和行政案件暂不做无纸化，其他案件全部做无纸化），完成从材料收转，编目质检，中间库管理，电子卷转档、纸质卷宗归档等服务</w:t>
            </w:r>
          </w:p>
        </w:tc>
        <w:tc>
          <w:tcPr>
            <w:tcW w:w="1872" w:type="dxa"/>
            <w:tcBorders>
              <w:top w:val="single" w:sz="6" w:space="0" w:color="auto"/>
              <w:left w:val="single" w:sz="4" w:space="0" w:color="auto"/>
              <w:right w:val="single" w:sz="6" w:space="0" w:color="auto"/>
            </w:tcBorders>
            <w:vAlign w:val="center"/>
          </w:tcPr>
          <w:p w:rsidR="00622D2F" w:rsidRDefault="00655E15">
            <w:pPr>
              <w:spacing w:line="240" w:lineRule="auto"/>
              <w:ind w:firstLine="0"/>
              <w:jc w:val="center"/>
              <w:rPr>
                <w:rFonts w:ascii="仿宋_GB2312" w:eastAsia="仿宋_GB2312" w:hAnsiTheme="minorEastAsia" w:cstheme="minorEastAsia"/>
                <w:color w:val="000000"/>
                <w:sz w:val="21"/>
              </w:rPr>
            </w:pPr>
            <w:proofErr w:type="gramStart"/>
            <w:r>
              <w:rPr>
                <w:rFonts w:ascii="仿宋_GB2312" w:eastAsia="仿宋_GB2312" w:hAnsiTheme="minorEastAsia" w:cstheme="minorEastAsia" w:hint="eastAsia"/>
                <w:color w:val="000000"/>
                <w:sz w:val="21"/>
              </w:rPr>
              <w:t>含电脑</w:t>
            </w:r>
            <w:proofErr w:type="gramEnd"/>
            <w:r>
              <w:rPr>
                <w:rFonts w:ascii="仿宋_GB2312" w:eastAsia="仿宋_GB2312" w:hAnsiTheme="minorEastAsia" w:cstheme="minorEastAsia" w:hint="eastAsia"/>
                <w:color w:val="000000"/>
                <w:sz w:val="21"/>
              </w:rPr>
              <w:t>等机器设备，不含纸张耗材，驻场人数不低于2人</w:t>
            </w:r>
          </w:p>
        </w:tc>
        <w:tc>
          <w:tcPr>
            <w:tcW w:w="2095" w:type="dxa"/>
            <w:tcBorders>
              <w:top w:val="single" w:sz="6" w:space="0" w:color="auto"/>
              <w:left w:val="single" w:sz="6" w:space="0" w:color="auto"/>
              <w:right w:val="single" w:sz="6" w:space="0" w:color="auto"/>
            </w:tcBorders>
            <w:vAlign w:val="center"/>
          </w:tcPr>
          <w:p w:rsidR="00622D2F" w:rsidRDefault="002B6069">
            <w:pPr>
              <w:spacing w:line="240" w:lineRule="auto"/>
              <w:ind w:firstLine="0"/>
              <w:jc w:val="center"/>
              <w:rPr>
                <w:rFonts w:ascii="仿宋_GB2312" w:eastAsia="仿宋_GB2312" w:hAnsiTheme="minorEastAsia" w:cstheme="minorEastAsia"/>
                <w:color w:val="000000"/>
                <w:sz w:val="21"/>
              </w:rPr>
            </w:pPr>
            <w:r>
              <w:rPr>
                <w:rFonts w:ascii="仿宋_GB2312" w:eastAsia="仿宋_GB2312" w:hAnsiTheme="minorEastAsia" w:cstheme="minorEastAsia" w:hint="eastAsia"/>
                <w:color w:val="000000"/>
                <w:sz w:val="21"/>
              </w:rPr>
              <w:t>20</w:t>
            </w:r>
            <w:r w:rsidR="00655E15">
              <w:rPr>
                <w:rFonts w:ascii="仿宋_GB2312" w:eastAsia="仿宋_GB2312" w:hAnsiTheme="minorEastAsia" w:cstheme="minorEastAsia" w:hint="eastAsia"/>
                <w:color w:val="000000"/>
                <w:sz w:val="21"/>
              </w:rPr>
              <w:t>万元</w:t>
            </w:r>
          </w:p>
        </w:tc>
      </w:tr>
      <w:tr w:rsidR="00622D2F" w:rsidTr="00016810">
        <w:trPr>
          <w:trHeight w:val="111"/>
          <w:jc w:val="center"/>
        </w:trPr>
        <w:tc>
          <w:tcPr>
            <w:tcW w:w="7086" w:type="dxa"/>
            <w:gridSpan w:val="4"/>
            <w:tcBorders>
              <w:top w:val="single" w:sz="6" w:space="0" w:color="auto"/>
              <w:left w:val="single" w:sz="6" w:space="0" w:color="auto"/>
              <w:bottom w:val="single" w:sz="6" w:space="0" w:color="auto"/>
              <w:right w:val="single" w:sz="6" w:space="0" w:color="auto"/>
            </w:tcBorders>
            <w:vAlign w:val="center"/>
          </w:tcPr>
          <w:p w:rsidR="00622D2F" w:rsidRDefault="00655E15" w:rsidP="002B6069">
            <w:pPr>
              <w:spacing w:line="240" w:lineRule="auto"/>
              <w:ind w:firstLine="0"/>
              <w:jc w:val="center"/>
              <w:rPr>
                <w:rFonts w:ascii="仿宋_GB2312" w:eastAsia="仿宋_GB2312" w:hAnsiTheme="minorEastAsia" w:cstheme="minorEastAsia"/>
                <w:b/>
                <w:color w:val="000000"/>
                <w:sz w:val="21"/>
              </w:rPr>
            </w:pPr>
            <w:r>
              <w:rPr>
                <w:rFonts w:ascii="仿宋_GB2312" w:eastAsia="仿宋_GB2312" w:hAnsiTheme="minorEastAsia" w:cstheme="minorEastAsia" w:hint="eastAsia"/>
                <w:b/>
                <w:color w:val="000000"/>
                <w:sz w:val="21"/>
              </w:rPr>
              <w:t>最高限价（总预算）</w:t>
            </w:r>
            <w:r w:rsidR="002B6069">
              <w:rPr>
                <w:rFonts w:ascii="仿宋_GB2312" w:eastAsia="仿宋_GB2312" w:hAnsiTheme="minorEastAsia" w:cstheme="minorEastAsia" w:hint="eastAsia"/>
                <w:b/>
                <w:color w:val="000000"/>
                <w:sz w:val="21"/>
              </w:rPr>
              <w:t>20</w:t>
            </w:r>
            <w:r>
              <w:rPr>
                <w:rFonts w:ascii="仿宋_GB2312" w:eastAsia="仿宋_GB2312" w:hAnsiTheme="minorEastAsia" w:cstheme="minorEastAsia" w:hint="eastAsia"/>
                <w:b/>
                <w:color w:val="000000"/>
                <w:sz w:val="21"/>
              </w:rPr>
              <w:fldChar w:fldCharType="begin"/>
            </w:r>
            <w:r>
              <w:rPr>
                <w:rFonts w:ascii="仿宋_GB2312" w:eastAsia="仿宋_GB2312" w:hAnsiTheme="minorEastAsia" w:cstheme="minorEastAsia" w:hint="eastAsia"/>
                <w:b/>
                <w:color w:val="000000"/>
                <w:sz w:val="21"/>
              </w:rPr>
              <w:instrText>= 530000 \* CHINESENUM2</w:instrText>
            </w:r>
            <w:r>
              <w:rPr>
                <w:rFonts w:ascii="仿宋_GB2312" w:eastAsia="仿宋_GB2312" w:hAnsiTheme="minorEastAsia" w:cstheme="minorEastAsia" w:hint="eastAsia"/>
                <w:b/>
                <w:color w:val="000000"/>
                <w:sz w:val="21"/>
              </w:rPr>
              <w:fldChar w:fldCharType="separate"/>
            </w:r>
            <w:r>
              <w:rPr>
                <w:rFonts w:ascii="仿宋_GB2312" w:eastAsia="仿宋_GB2312" w:hAnsiTheme="minorEastAsia" w:cstheme="minorEastAsia" w:hint="eastAsia"/>
                <w:b/>
                <w:color w:val="000000"/>
                <w:sz w:val="21"/>
              </w:rPr>
              <w:t>万</w:t>
            </w:r>
            <w:r>
              <w:rPr>
                <w:rFonts w:ascii="仿宋_GB2312" w:eastAsia="仿宋_GB2312" w:hAnsiTheme="minorEastAsia" w:cstheme="minorEastAsia" w:hint="eastAsia"/>
                <w:b/>
                <w:color w:val="000000"/>
                <w:sz w:val="21"/>
              </w:rPr>
              <w:fldChar w:fldCharType="end"/>
            </w:r>
            <w:r>
              <w:rPr>
                <w:rFonts w:ascii="仿宋_GB2312" w:eastAsia="仿宋_GB2312" w:hAnsiTheme="minorEastAsia" w:cstheme="minorEastAsia" w:hint="eastAsia"/>
                <w:b/>
                <w:color w:val="000000"/>
                <w:sz w:val="21"/>
              </w:rPr>
              <w:t>元整</w:t>
            </w:r>
          </w:p>
        </w:tc>
        <w:tc>
          <w:tcPr>
            <w:tcW w:w="2095" w:type="dxa"/>
            <w:tcBorders>
              <w:top w:val="single" w:sz="6" w:space="0" w:color="auto"/>
              <w:left w:val="single" w:sz="6" w:space="0" w:color="auto"/>
              <w:bottom w:val="single" w:sz="6" w:space="0" w:color="auto"/>
              <w:right w:val="single" w:sz="6" w:space="0" w:color="auto"/>
            </w:tcBorders>
          </w:tcPr>
          <w:p w:rsidR="00622D2F" w:rsidRDefault="002B6069">
            <w:pPr>
              <w:spacing w:line="240" w:lineRule="auto"/>
              <w:ind w:firstLine="0"/>
              <w:jc w:val="center"/>
              <w:rPr>
                <w:rFonts w:ascii="仿宋_GB2312" w:eastAsia="仿宋_GB2312" w:hAnsiTheme="minorEastAsia" w:cstheme="minorEastAsia"/>
                <w:color w:val="000000"/>
                <w:sz w:val="21"/>
              </w:rPr>
            </w:pPr>
            <w:r>
              <w:rPr>
                <w:rFonts w:ascii="仿宋_GB2312" w:eastAsia="仿宋_GB2312" w:hAnsiTheme="minorEastAsia" w:cstheme="minorEastAsia" w:hint="eastAsia"/>
                <w:color w:val="000000"/>
                <w:sz w:val="21"/>
              </w:rPr>
              <w:t>20</w:t>
            </w:r>
            <w:r w:rsidR="00655E15">
              <w:rPr>
                <w:rFonts w:ascii="仿宋_GB2312" w:eastAsia="仿宋_GB2312" w:hAnsiTheme="minorEastAsia" w:cstheme="minorEastAsia" w:hint="eastAsia"/>
                <w:color w:val="000000"/>
                <w:sz w:val="21"/>
              </w:rPr>
              <w:t>万元</w:t>
            </w:r>
          </w:p>
        </w:tc>
      </w:tr>
      <w:tr w:rsidR="00622D2F">
        <w:trPr>
          <w:trHeight w:val="466"/>
          <w:jc w:val="center"/>
        </w:trPr>
        <w:tc>
          <w:tcPr>
            <w:tcW w:w="9181" w:type="dxa"/>
            <w:gridSpan w:val="5"/>
            <w:tcBorders>
              <w:top w:val="single" w:sz="6" w:space="0" w:color="auto"/>
              <w:left w:val="single" w:sz="6" w:space="0" w:color="auto"/>
              <w:bottom w:val="single" w:sz="6" w:space="0" w:color="auto"/>
              <w:right w:val="single" w:sz="6" w:space="0" w:color="auto"/>
            </w:tcBorders>
            <w:vAlign w:val="center"/>
          </w:tcPr>
          <w:p w:rsidR="00622D2F" w:rsidRDefault="00655E15" w:rsidP="002B6069">
            <w:pPr>
              <w:spacing w:line="240" w:lineRule="auto"/>
              <w:ind w:firstLine="0"/>
              <w:rPr>
                <w:rFonts w:ascii="仿宋_GB2312" w:eastAsia="仿宋_GB2312" w:hAnsiTheme="minorEastAsia" w:cstheme="minorEastAsia"/>
                <w:color w:val="000000"/>
                <w:sz w:val="21"/>
              </w:rPr>
            </w:pPr>
            <w:r>
              <w:rPr>
                <w:rFonts w:ascii="仿宋_GB2312" w:eastAsia="仿宋_GB2312" w:hAnsiTheme="minorEastAsia" w:cstheme="minorEastAsia" w:hint="eastAsia"/>
                <w:bCs/>
                <w:color w:val="000000"/>
                <w:sz w:val="21"/>
              </w:rPr>
              <w:t>说明：服务期限壹年</w:t>
            </w:r>
            <w:bookmarkStart w:id="5" w:name="_GoBack"/>
            <w:bookmarkEnd w:id="5"/>
          </w:p>
        </w:tc>
      </w:tr>
    </w:tbl>
    <w:p w:rsidR="00622D2F" w:rsidRDefault="00622D2F">
      <w:pPr>
        <w:ind w:firstLine="0"/>
      </w:pPr>
    </w:p>
    <w:p w:rsidR="00622D2F" w:rsidRDefault="00655E15" w:rsidP="00FD57E7">
      <w:pPr>
        <w:pStyle w:val="2"/>
      </w:pPr>
      <w:bookmarkStart w:id="6" w:name="_Toc21805"/>
      <w:r>
        <w:rPr>
          <w:rFonts w:hint="eastAsia"/>
        </w:rPr>
        <w:t>服务内容</w:t>
      </w:r>
      <w:bookmarkEnd w:id="6"/>
    </w:p>
    <w:p w:rsidR="00622D2F" w:rsidRDefault="00655E15" w:rsidP="00FD57E7">
      <w:pPr>
        <w:pStyle w:val="3"/>
      </w:pPr>
      <w:r>
        <w:rPr>
          <w:rFonts w:hint="eastAsia"/>
        </w:rPr>
        <w:t>材料收转服务</w:t>
      </w:r>
    </w:p>
    <w:p w:rsidR="00622D2F" w:rsidRDefault="00655E15">
      <w:pPr>
        <w:ind w:firstLine="560"/>
      </w:pPr>
      <w:r>
        <w:rPr>
          <w:rFonts w:hint="eastAsia"/>
        </w:rPr>
        <w:t>（</w:t>
      </w:r>
      <w:r>
        <w:rPr>
          <w:rFonts w:hint="eastAsia"/>
        </w:rPr>
        <w:t>1</w:t>
      </w:r>
      <w:r>
        <w:rPr>
          <w:rFonts w:hint="eastAsia"/>
        </w:rPr>
        <w:t>）供应商应提供立案阶段</w:t>
      </w:r>
      <w:r>
        <w:rPr>
          <w:rFonts w:hint="eastAsia"/>
          <w:b/>
        </w:rPr>
        <w:t>先立后扫或先扫后立</w:t>
      </w:r>
      <w:r>
        <w:rPr>
          <w:rFonts w:hint="eastAsia"/>
        </w:rPr>
        <w:t>纸质卷宗整体流转运行机制。</w:t>
      </w:r>
    </w:p>
    <w:p w:rsidR="00622D2F" w:rsidRDefault="00655E15">
      <w:pPr>
        <w:ind w:firstLine="560"/>
      </w:pPr>
      <w:r>
        <w:rPr>
          <w:rFonts w:hint="eastAsia"/>
        </w:rPr>
        <w:t>（</w:t>
      </w:r>
      <w:r>
        <w:rPr>
          <w:rFonts w:hint="eastAsia"/>
        </w:rPr>
        <w:t>2</w:t>
      </w:r>
      <w:r>
        <w:rPr>
          <w:rFonts w:hint="eastAsia"/>
        </w:rPr>
        <w:t>）供应商应提供材料收转环</w:t>
      </w:r>
      <w:proofErr w:type="gramStart"/>
      <w:r>
        <w:rPr>
          <w:rFonts w:hint="eastAsia"/>
        </w:rPr>
        <w:t>节针对</w:t>
      </w:r>
      <w:proofErr w:type="gramEnd"/>
      <w:r>
        <w:rPr>
          <w:rFonts w:hint="eastAsia"/>
        </w:rPr>
        <w:t>现场立案，邮寄立案和巡回收集的工作方法。</w:t>
      </w:r>
    </w:p>
    <w:p w:rsidR="00622D2F" w:rsidRDefault="00655E15">
      <w:pPr>
        <w:ind w:firstLine="560"/>
      </w:pPr>
      <w:r>
        <w:rPr>
          <w:rFonts w:hint="eastAsia"/>
        </w:rPr>
        <w:t>（</w:t>
      </w:r>
      <w:r>
        <w:rPr>
          <w:rFonts w:hint="eastAsia"/>
        </w:rPr>
        <w:t>3</w:t>
      </w:r>
      <w:r>
        <w:rPr>
          <w:rFonts w:hint="eastAsia"/>
        </w:rPr>
        <w:t>）供应商应提供</w:t>
      </w:r>
      <w:r>
        <w:t>材料收转环</w:t>
      </w:r>
      <w:proofErr w:type="gramStart"/>
      <w:r>
        <w:t>节材料</w:t>
      </w:r>
      <w:proofErr w:type="gramEnd"/>
      <w:r>
        <w:t>登记服务与材料质检服务</w:t>
      </w:r>
      <w:r>
        <w:rPr>
          <w:rFonts w:hint="eastAsia"/>
        </w:rPr>
        <w:t>。</w:t>
      </w:r>
    </w:p>
    <w:p w:rsidR="00622D2F" w:rsidRDefault="00655E15" w:rsidP="00FD57E7">
      <w:pPr>
        <w:pStyle w:val="3"/>
        <w:ind w:firstLine="723"/>
      </w:pPr>
      <w:r>
        <w:rPr>
          <w:rFonts w:hint="eastAsia"/>
        </w:rPr>
        <w:t>精细化编目质检服务</w:t>
      </w:r>
    </w:p>
    <w:p w:rsidR="00622D2F" w:rsidRDefault="00655E15">
      <w:pPr>
        <w:ind w:firstLine="560"/>
      </w:pPr>
      <w:r>
        <w:rPr>
          <w:rFonts w:hint="eastAsia"/>
        </w:rPr>
        <w:t>供应商应提供全面的线上、线下材料编目服务方案并根据无纸化办案需求，通过要素式提取，感知技术、认知技术持续为采购方提供后台材料名称与阅卷以及归档目录匹配的关键词基础数据维护，提高精细化编目材料</w:t>
      </w:r>
      <w:proofErr w:type="gramStart"/>
      <w:r>
        <w:rPr>
          <w:rFonts w:hint="eastAsia"/>
        </w:rPr>
        <w:t>入卷归目准确性</w:t>
      </w:r>
      <w:proofErr w:type="gramEnd"/>
      <w:r>
        <w:rPr>
          <w:rFonts w:hint="eastAsia"/>
        </w:rPr>
        <w:t>、法官</w:t>
      </w:r>
      <w:proofErr w:type="gramStart"/>
      <w:r>
        <w:rPr>
          <w:rFonts w:hint="eastAsia"/>
        </w:rPr>
        <w:t>阅</w:t>
      </w:r>
      <w:proofErr w:type="gramEnd"/>
      <w:r>
        <w:rPr>
          <w:rFonts w:hint="eastAsia"/>
        </w:rPr>
        <w:t>电子卷宗便利性和电子卷宗归档的准确性。方案内容应包括：</w:t>
      </w:r>
    </w:p>
    <w:p w:rsidR="00622D2F" w:rsidRDefault="00655E15">
      <w:pPr>
        <w:ind w:firstLine="560"/>
      </w:pPr>
      <w:r>
        <w:rPr>
          <w:rFonts w:hint="eastAsia"/>
        </w:rPr>
        <w:t>（</w:t>
      </w:r>
      <w:r>
        <w:rPr>
          <w:rFonts w:hint="eastAsia"/>
        </w:rPr>
        <w:t>1</w:t>
      </w:r>
      <w:r>
        <w:rPr>
          <w:rFonts w:hint="eastAsia"/>
        </w:rPr>
        <w:t>）编目规范方案</w:t>
      </w:r>
    </w:p>
    <w:p w:rsidR="00622D2F" w:rsidRDefault="00655E15">
      <w:pPr>
        <w:ind w:firstLine="560"/>
      </w:pPr>
      <w:r>
        <w:rPr>
          <w:rFonts w:hint="eastAsia"/>
        </w:rPr>
        <w:t>须按照最高人民法院《电子卷宗阅卷目录规范》（</w:t>
      </w:r>
      <w:r>
        <w:t>FYB/T 52021-2018</w:t>
      </w:r>
      <w:r>
        <w:t>）、《人民法院执行案件流程信息管理系统智能化升级及电子卷宗深度应用建设技术规范》</w:t>
      </w:r>
      <w:r>
        <w:t>,</w:t>
      </w:r>
      <w:r>
        <w:t>以及</w:t>
      </w:r>
      <w:r>
        <w:rPr>
          <w:rFonts w:hint="eastAsia"/>
        </w:rPr>
        <w:t>湖北省高级人民法院制发的《电子卷宗集约编目质检中心建设方案（试行）》规定的电子卷宗集约编目质检流程及电子卷宗集约编目参照样式进行</w:t>
      </w:r>
      <w:r>
        <w:t>严格执行。</w:t>
      </w:r>
      <w:r>
        <w:rPr>
          <w:rFonts w:hint="eastAsia"/>
        </w:rPr>
        <w:t>供应商根据法官阅卷习惯，提供科学、标准的编目方案。实际编目质检服务过程中，需要定期沟通法官，优化调整编目规范，法院有明确编目规则的，必须优先执行，并不断协助采购</w:t>
      </w:r>
      <w:proofErr w:type="gramStart"/>
      <w:r>
        <w:rPr>
          <w:rFonts w:hint="eastAsia"/>
        </w:rPr>
        <w:t>方完善</w:t>
      </w:r>
      <w:proofErr w:type="gramEnd"/>
      <w:r>
        <w:rPr>
          <w:rFonts w:hint="eastAsia"/>
        </w:rPr>
        <w:t>规范。供应商应制定精细化编目规范，包括名称标注原则、分类、规范，以及材料分别归（阅</w:t>
      </w:r>
      <w:r w:rsidR="00306A5D">
        <w:rPr>
          <w:rFonts w:hint="eastAsia"/>
        </w:rPr>
        <w:t>卷目录和档案卷目录）的规范</w:t>
      </w:r>
      <w:r>
        <w:rPr>
          <w:rFonts w:hint="eastAsia"/>
        </w:rPr>
        <w:t>。</w:t>
      </w:r>
    </w:p>
    <w:p w:rsidR="00622D2F" w:rsidRDefault="00655E15">
      <w:pPr>
        <w:ind w:firstLine="560"/>
      </w:pPr>
      <w:r>
        <w:rPr>
          <w:rFonts w:hint="eastAsia"/>
        </w:rPr>
        <w:t>（</w:t>
      </w:r>
      <w:r>
        <w:rPr>
          <w:rFonts w:hint="eastAsia"/>
        </w:rPr>
        <w:t>2</w:t>
      </w:r>
      <w:r>
        <w:rPr>
          <w:rFonts w:hint="eastAsia"/>
        </w:rPr>
        <w:t>）</w:t>
      </w:r>
      <w:r>
        <w:rPr>
          <w:rFonts w:ascii="Lucida Sans Unicode" w:eastAsia="Lucida Sans Unicode" w:hAnsi="Lucida Sans Unicode" w:cs="Lucida Sans Unicode"/>
          <w:spacing w:val="3"/>
        </w:rPr>
        <w:t>▲</w:t>
      </w:r>
      <w:r>
        <w:t>材料名称编目规范手册</w:t>
      </w:r>
    </w:p>
    <w:p w:rsidR="00622D2F" w:rsidRDefault="00655E15">
      <w:pPr>
        <w:ind w:firstLine="560"/>
      </w:pPr>
      <w:r>
        <w:rPr>
          <w:rFonts w:hint="eastAsia"/>
        </w:rPr>
        <w:t>包含民初，名终、财保、民特、刑初，刑终、执、执</w:t>
      </w:r>
      <w:proofErr w:type="gramStart"/>
      <w:r>
        <w:rPr>
          <w:rFonts w:hint="eastAsia"/>
        </w:rPr>
        <w:t>恢</w:t>
      </w:r>
      <w:proofErr w:type="gramEnd"/>
      <w:r>
        <w:rPr>
          <w:rFonts w:hint="eastAsia"/>
        </w:rPr>
        <w:t>、执保、行初、行终、</w:t>
      </w:r>
      <w:proofErr w:type="gramStart"/>
      <w:r>
        <w:rPr>
          <w:rFonts w:hint="eastAsia"/>
        </w:rPr>
        <w:t>司救执等</w:t>
      </w:r>
      <w:proofErr w:type="gramEnd"/>
      <w:r>
        <w:rPr>
          <w:rFonts w:hint="eastAsia"/>
        </w:rPr>
        <w:t>通用编目规则。</w:t>
      </w:r>
    </w:p>
    <w:p w:rsidR="00622D2F" w:rsidRDefault="00655E15">
      <w:pPr>
        <w:ind w:firstLine="560"/>
      </w:pPr>
      <w:r>
        <w:rPr>
          <w:rFonts w:hint="eastAsia"/>
        </w:rPr>
        <w:t>（</w:t>
      </w:r>
      <w:r>
        <w:rPr>
          <w:rFonts w:hint="eastAsia"/>
        </w:rPr>
        <w:t>3</w:t>
      </w:r>
      <w:r>
        <w:rPr>
          <w:rFonts w:hint="eastAsia"/>
        </w:rPr>
        <w:t>）</w:t>
      </w:r>
      <w:r>
        <w:rPr>
          <w:rFonts w:ascii="Lucida Sans Unicode" w:eastAsia="Lucida Sans Unicode" w:hAnsi="Lucida Sans Unicode" w:cs="Lucida Sans Unicode"/>
          <w:spacing w:val="3"/>
        </w:rPr>
        <w:t>▲</w:t>
      </w:r>
      <w:r>
        <w:rPr>
          <w:rFonts w:hint="eastAsia"/>
        </w:rPr>
        <w:t>精细化编目服务</w:t>
      </w:r>
    </w:p>
    <w:p w:rsidR="00622D2F" w:rsidRDefault="00655E15">
      <w:pPr>
        <w:ind w:firstLine="560"/>
        <w:rPr>
          <w:b/>
        </w:rPr>
      </w:pPr>
      <w:r>
        <w:rPr>
          <w:rFonts w:hint="eastAsia"/>
        </w:rPr>
        <w:t>提供精细化编目服务，针对存在精细化编目需要及可以进行要素信息提取的材料，通过软件能力加人工提取并用方式进行要素信息抽取，根据抽取结果</w:t>
      </w:r>
      <w:r>
        <w:rPr>
          <w:rFonts w:hint="eastAsia"/>
          <w:bCs/>
        </w:rPr>
        <w:t>拼接</w:t>
      </w:r>
      <w:r>
        <w:rPr>
          <w:rFonts w:hint="eastAsia"/>
          <w:bCs/>
        </w:rPr>
        <w:lastRenderedPageBreak/>
        <w:t>重组材料</w:t>
      </w:r>
      <w:r>
        <w:rPr>
          <w:rFonts w:hint="eastAsia"/>
        </w:rPr>
        <w:t>编目名称，同时维护</w:t>
      </w:r>
      <w:r>
        <w:rPr>
          <w:rFonts w:ascii="仿宋" w:hAnsi="仿宋" w:hint="eastAsia"/>
          <w:kern w:val="0"/>
          <w:szCs w:val="28"/>
        </w:rPr>
        <w:t>材料的基本属性如材料名称、阅卷目录等，使用材料的命名更为精细化，</w:t>
      </w:r>
      <w:proofErr w:type="gramStart"/>
      <w:r>
        <w:rPr>
          <w:rFonts w:ascii="仿宋" w:hAnsi="仿宋" w:hint="eastAsia"/>
          <w:kern w:val="0"/>
          <w:szCs w:val="28"/>
        </w:rPr>
        <w:t>归目更</w:t>
      </w:r>
      <w:proofErr w:type="gramEnd"/>
      <w:r>
        <w:rPr>
          <w:rFonts w:ascii="仿宋" w:hAnsi="仿宋" w:hint="eastAsia"/>
          <w:kern w:val="0"/>
          <w:szCs w:val="28"/>
        </w:rPr>
        <w:t>准确，提升法官阅卷体验以及归档效率。</w:t>
      </w:r>
    </w:p>
    <w:p w:rsidR="00622D2F" w:rsidRDefault="00655E15">
      <w:pPr>
        <w:ind w:firstLine="560"/>
      </w:pPr>
      <w:r>
        <w:rPr>
          <w:rFonts w:hint="eastAsia"/>
        </w:rPr>
        <w:t>（</w:t>
      </w:r>
      <w:r>
        <w:rPr>
          <w:rFonts w:hint="eastAsia"/>
        </w:rPr>
        <w:t>4</w:t>
      </w:r>
      <w:r>
        <w:rPr>
          <w:rFonts w:hint="eastAsia"/>
        </w:rPr>
        <w:t>）编目服务流程</w:t>
      </w:r>
    </w:p>
    <w:p w:rsidR="00622D2F" w:rsidRDefault="00655E15">
      <w:pPr>
        <w:ind w:firstLine="560"/>
      </w:pPr>
      <w:r>
        <w:rPr>
          <w:rFonts w:hint="eastAsia"/>
        </w:rPr>
        <w:t>介绍编目服务内容，对编目业务总体流程进行设计并介绍</w:t>
      </w:r>
      <w:r>
        <w:t>编目服务流程。</w:t>
      </w:r>
    </w:p>
    <w:p w:rsidR="00622D2F" w:rsidRDefault="00655E15">
      <w:pPr>
        <w:ind w:firstLine="560"/>
      </w:pPr>
      <w:r>
        <w:rPr>
          <w:rFonts w:hint="eastAsia"/>
        </w:rPr>
        <w:t>（</w:t>
      </w:r>
      <w:r>
        <w:rPr>
          <w:rFonts w:hint="eastAsia"/>
        </w:rPr>
        <w:t>5</w:t>
      </w:r>
      <w:r>
        <w:rPr>
          <w:rFonts w:hint="eastAsia"/>
        </w:rPr>
        <w:t>）编目时效性方案</w:t>
      </w:r>
    </w:p>
    <w:p w:rsidR="00622D2F" w:rsidRDefault="00655E15">
      <w:pPr>
        <w:ind w:firstLine="560"/>
      </w:pPr>
      <w:r>
        <w:rPr>
          <w:rFonts w:hint="eastAsia"/>
        </w:rPr>
        <w:t>供应商提供优化编目任务分派算法提升智能分派编目任务效率，并提供编目服务管理方案。</w:t>
      </w:r>
    </w:p>
    <w:p w:rsidR="00622D2F" w:rsidRDefault="00655E15">
      <w:pPr>
        <w:ind w:firstLine="560"/>
      </w:pPr>
      <w:r>
        <w:rPr>
          <w:rFonts w:hint="eastAsia"/>
        </w:rPr>
        <w:t>（</w:t>
      </w:r>
      <w:r>
        <w:rPr>
          <w:rFonts w:hint="eastAsia"/>
        </w:rPr>
        <w:t>6</w:t>
      </w:r>
      <w:r>
        <w:rPr>
          <w:rFonts w:hint="eastAsia"/>
        </w:rPr>
        <w:t>）编目服务岗位职责</w:t>
      </w:r>
    </w:p>
    <w:p w:rsidR="00622D2F" w:rsidRDefault="00655E15">
      <w:pPr>
        <w:ind w:firstLine="560"/>
      </w:pPr>
      <w:r>
        <w:rPr>
          <w:rFonts w:hint="eastAsia"/>
        </w:rPr>
        <w:t>设立法院数据加工中心，按照集中编目工作流程建立配套的工作岗位。</w:t>
      </w:r>
    </w:p>
    <w:p w:rsidR="00622D2F" w:rsidRDefault="00655E15">
      <w:pPr>
        <w:ind w:firstLine="560"/>
      </w:pPr>
      <w:r>
        <w:rPr>
          <w:rFonts w:hint="eastAsia"/>
        </w:rPr>
        <w:t>（</w:t>
      </w:r>
      <w:r>
        <w:rPr>
          <w:rFonts w:hint="eastAsia"/>
        </w:rPr>
        <w:t>7</w:t>
      </w:r>
      <w:r>
        <w:rPr>
          <w:rFonts w:hint="eastAsia"/>
        </w:rPr>
        <w:t>）编目成效与服务优势</w:t>
      </w:r>
    </w:p>
    <w:p w:rsidR="00622D2F" w:rsidRDefault="00655E15">
      <w:pPr>
        <w:ind w:firstLine="560"/>
      </w:pPr>
      <w:r>
        <w:rPr>
          <w:rFonts w:hint="eastAsia"/>
        </w:rPr>
        <w:t>阐述编目服务必要性，介绍编目服务的成效和服务优势。</w:t>
      </w:r>
    </w:p>
    <w:p w:rsidR="00622D2F" w:rsidRDefault="00655E15" w:rsidP="00FD57E7">
      <w:pPr>
        <w:pStyle w:val="3"/>
      </w:pPr>
      <w:r>
        <w:rPr>
          <w:rFonts w:hint="eastAsia"/>
        </w:rPr>
        <w:t>中间库管理服务</w:t>
      </w:r>
    </w:p>
    <w:p w:rsidR="00622D2F" w:rsidRDefault="00655E15">
      <w:pPr>
        <w:ind w:firstLine="560"/>
      </w:pPr>
      <w:r>
        <w:rPr>
          <w:rFonts w:hint="eastAsia"/>
        </w:rPr>
        <w:t>（</w:t>
      </w:r>
      <w:r>
        <w:rPr>
          <w:rFonts w:hint="eastAsia"/>
        </w:rPr>
        <w:t>1</w:t>
      </w:r>
      <w:r>
        <w:rPr>
          <w:rFonts w:hint="eastAsia"/>
        </w:rPr>
        <w:t>）诉讼材料收转发管理设计方案</w:t>
      </w:r>
    </w:p>
    <w:p w:rsidR="00622D2F" w:rsidRDefault="00655E15">
      <w:pPr>
        <w:ind w:firstLine="560"/>
      </w:pPr>
      <w:r>
        <w:rPr>
          <w:rFonts w:hint="eastAsia"/>
        </w:rPr>
        <w:t>提供材料流转机制，包括卷宗借阅归还流程等。</w:t>
      </w:r>
    </w:p>
    <w:p w:rsidR="00622D2F" w:rsidRDefault="00655E15">
      <w:pPr>
        <w:ind w:firstLine="560"/>
        <w:rPr>
          <w:rFonts w:ascii="仿宋" w:hAnsi="仿宋"/>
        </w:rPr>
      </w:pPr>
      <w:r>
        <w:rPr>
          <w:rFonts w:ascii="仿宋" w:hAnsi="仿宋"/>
        </w:rPr>
        <w:t>（</w:t>
      </w:r>
      <w:r>
        <w:rPr>
          <w:rFonts w:ascii="仿宋" w:hAnsi="仿宋" w:hint="eastAsia"/>
        </w:rPr>
        <w:t>2</w:t>
      </w:r>
      <w:r>
        <w:rPr>
          <w:rFonts w:ascii="仿宋" w:hAnsi="仿宋"/>
        </w:rPr>
        <w:t>）电子卷</w:t>
      </w:r>
      <w:r>
        <w:rPr>
          <w:rFonts w:ascii="仿宋" w:hAnsi="仿宋" w:hint="eastAsia"/>
        </w:rPr>
        <w:t>质检</w:t>
      </w:r>
    </w:p>
    <w:p w:rsidR="00622D2F" w:rsidRDefault="00655E15">
      <w:pPr>
        <w:ind w:firstLine="560"/>
        <w:rPr>
          <w:rFonts w:ascii="仿宋" w:hAnsi="仿宋"/>
        </w:rPr>
      </w:pPr>
      <w:r>
        <w:rPr>
          <w:rFonts w:ascii="仿宋" w:hAnsi="仿宋" w:hint="eastAsia"/>
        </w:rPr>
        <w:t>供应商须提供电子卷宗质检方案，</w:t>
      </w:r>
      <w:r>
        <w:rPr>
          <w:rFonts w:hint="eastAsia"/>
        </w:rPr>
        <w:t>包括外部质检（包含材料电子化环节、法院阅卷环节、一键归档环节）和内部质检（包含名称标注质检、阅卷目录质检、档案卷目录质检）两部分，</w:t>
      </w:r>
      <w:r>
        <w:rPr>
          <w:rFonts w:ascii="仿宋" w:hAnsi="仿宋" w:hint="eastAsia"/>
        </w:rPr>
        <w:t>确保电子卷宗完整，可信，提高法官阅卷体验感。</w:t>
      </w:r>
    </w:p>
    <w:p w:rsidR="00622D2F" w:rsidRDefault="00655E15">
      <w:pPr>
        <w:ind w:firstLine="560"/>
      </w:pPr>
      <w:r>
        <w:rPr>
          <w:rFonts w:hint="eastAsia"/>
        </w:rPr>
        <w:t>（</w:t>
      </w:r>
      <w:r>
        <w:rPr>
          <w:rFonts w:hint="eastAsia"/>
        </w:rPr>
        <w:t>3</w:t>
      </w:r>
      <w:r>
        <w:rPr>
          <w:rFonts w:hint="eastAsia"/>
        </w:rPr>
        <w:t>）中间库管理</w:t>
      </w:r>
    </w:p>
    <w:p w:rsidR="00622D2F" w:rsidRDefault="00655E15">
      <w:pPr>
        <w:ind w:firstLine="560"/>
        <w:rPr>
          <w:b/>
        </w:rPr>
      </w:pPr>
      <w:r>
        <w:rPr>
          <w:rFonts w:hint="eastAsia"/>
        </w:rPr>
        <w:t>提供中间库管理方案，包括材料入库、在库管理、卷宗出库、卷宗借阅，智能中间库库区设备系统维护。</w:t>
      </w:r>
    </w:p>
    <w:p w:rsidR="00622D2F" w:rsidRDefault="00655E15" w:rsidP="00FD57E7">
      <w:pPr>
        <w:pStyle w:val="3"/>
        <w:ind w:firstLine="723"/>
      </w:pPr>
      <w:r>
        <w:rPr>
          <w:rFonts w:hint="eastAsia"/>
        </w:rPr>
        <w:t>电子转档服务</w:t>
      </w:r>
    </w:p>
    <w:p w:rsidR="00622D2F" w:rsidRDefault="00655E15">
      <w:pPr>
        <w:ind w:firstLine="560"/>
        <w:rPr>
          <w:bCs/>
        </w:rPr>
      </w:pPr>
      <w:r>
        <w:rPr>
          <w:rFonts w:hint="eastAsia"/>
        </w:rPr>
        <w:t>（</w:t>
      </w:r>
      <w:r>
        <w:rPr>
          <w:rFonts w:hint="eastAsia"/>
        </w:rPr>
        <w:t>1</w:t>
      </w:r>
      <w:r>
        <w:rPr>
          <w:rFonts w:hint="eastAsia"/>
        </w:rPr>
        <w:t>）</w:t>
      </w:r>
      <w:r>
        <w:rPr>
          <w:rFonts w:hint="eastAsia"/>
          <w:bCs/>
        </w:rPr>
        <w:t>一键归档服务流程方案</w:t>
      </w:r>
    </w:p>
    <w:p w:rsidR="00622D2F" w:rsidRDefault="00655E15">
      <w:pPr>
        <w:ind w:firstLine="560"/>
      </w:pPr>
      <w:r>
        <w:rPr>
          <w:rFonts w:hint="eastAsia"/>
        </w:rPr>
        <w:t>案件结案后，书记员需通过供应商提供的相关配套事项管理系统（留痕管理）发起归档整理事务。成交供应商对提交归档整理的案件，根据法院的归档要求，在规定工作日内完成电子档案整理和电子推送审核等工作。成交供应商须提供适合采购人的一键归档服务方案。</w:t>
      </w:r>
    </w:p>
    <w:p w:rsidR="00622D2F" w:rsidRDefault="00655E15">
      <w:pPr>
        <w:ind w:firstLine="560"/>
      </w:pPr>
      <w:r>
        <w:rPr>
          <w:rFonts w:hint="eastAsia"/>
        </w:rPr>
        <w:lastRenderedPageBreak/>
        <w:t>结案后当法官或书记员只需在线提交无纸化归档流程，归档岗服务人员接到归档任务后首先</w:t>
      </w:r>
      <w:r w:rsidR="009A23B4">
        <w:rPr>
          <w:rFonts w:hint="eastAsia"/>
        </w:rPr>
        <w:t>做电子转档，转档完后会将转档结果回传给归档流程提交者进行审核。</w:t>
      </w:r>
    </w:p>
    <w:p w:rsidR="00622D2F" w:rsidRDefault="00655E15">
      <w:pPr>
        <w:ind w:firstLine="560"/>
        <w:rPr>
          <w:rFonts w:ascii="仿宋" w:hAnsi="仿宋"/>
        </w:rPr>
      </w:pPr>
      <w:r>
        <w:rPr>
          <w:rFonts w:ascii="仿宋" w:hAnsi="仿宋" w:hint="eastAsia"/>
        </w:rPr>
        <w:t>（</w:t>
      </w:r>
      <w:r>
        <w:rPr>
          <w:rFonts w:ascii="仿宋" w:hAnsi="仿宋" w:hint="eastAsia"/>
        </w:rPr>
        <w:t>2</w:t>
      </w:r>
      <w:r>
        <w:rPr>
          <w:rFonts w:ascii="仿宋" w:hAnsi="仿宋" w:hint="eastAsia"/>
        </w:rPr>
        <w:t>）归档业务优化与效率提升方案</w:t>
      </w:r>
    </w:p>
    <w:p w:rsidR="00622D2F" w:rsidRDefault="00655E15">
      <w:pPr>
        <w:ind w:firstLine="560"/>
        <w:rPr>
          <w:rFonts w:ascii="仿宋" w:hAnsi="仿宋"/>
        </w:rPr>
      </w:pPr>
      <w:r>
        <w:rPr>
          <w:rFonts w:ascii="仿宋" w:hAnsi="仿宋" w:hint="eastAsia"/>
        </w:rPr>
        <w:t>为确保电子卷宗转换效率和成功率，投标时应提供一套提高一键转档效率优化方案。</w:t>
      </w:r>
    </w:p>
    <w:p w:rsidR="00622D2F" w:rsidRDefault="00655E15" w:rsidP="00FD57E7">
      <w:pPr>
        <w:pStyle w:val="3"/>
        <w:ind w:firstLine="723"/>
      </w:pPr>
      <w:r>
        <w:rPr>
          <w:rFonts w:hint="eastAsia"/>
        </w:rPr>
        <w:t>纸质卷宗整卷服务</w:t>
      </w:r>
    </w:p>
    <w:p w:rsidR="00622D2F" w:rsidRDefault="00596ABA" w:rsidP="00596ABA">
      <w:r>
        <w:rPr>
          <w:rFonts w:hint="eastAsia"/>
        </w:rPr>
        <w:t>根据最高人民法院办公厅关于印发《人民法院案件诉讼材料归档排列顺序（试行）》的通知要求，按照院方双套或者混合单套制归档规范进行纸质卷宗归档理卷，然后提交档案加工环节。</w:t>
      </w:r>
    </w:p>
    <w:p w:rsidR="00622D2F" w:rsidRDefault="00655E15" w:rsidP="00596ABA">
      <w:pPr>
        <w:pStyle w:val="2"/>
      </w:pPr>
      <w:bookmarkStart w:id="7" w:name="_Toc8245"/>
      <w:r>
        <w:rPr>
          <w:rFonts w:hint="eastAsia"/>
        </w:rPr>
        <w:t>服务</w:t>
      </w:r>
      <w:r w:rsidR="00306A5D">
        <w:rPr>
          <w:rFonts w:hint="eastAsia"/>
        </w:rPr>
        <w:t>质量与</w:t>
      </w:r>
      <w:r>
        <w:rPr>
          <w:rFonts w:hint="eastAsia"/>
        </w:rPr>
        <w:t>标准</w:t>
      </w:r>
      <w:bookmarkEnd w:id="7"/>
    </w:p>
    <w:p w:rsidR="00306A5D" w:rsidRPr="00306A5D" w:rsidRDefault="00306A5D" w:rsidP="00306A5D">
      <w:pPr>
        <w:pStyle w:val="3"/>
      </w:pPr>
      <w:r>
        <w:rPr>
          <w:rFonts w:hint="eastAsia"/>
        </w:rPr>
        <w:t>服务标准</w:t>
      </w:r>
    </w:p>
    <w:p w:rsidR="00596ABA" w:rsidRDefault="00596ABA" w:rsidP="00596ABA">
      <w:r>
        <w:rPr>
          <w:rFonts w:hint="eastAsia"/>
        </w:rPr>
        <w:t>（</w:t>
      </w:r>
      <w:r>
        <w:rPr>
          <w:rFonts w:hint="eastAsia"/>
        </w:rPr>
        <w:t>1</w:t>
      </w:r>
      <w:r>
        <w:rPr>
          <w:rFonts w:hint="eastAsia"/>
        </w:rPr>
        <w:t>）提供电子卷宗随案同步生成标准。</w:t>
      </w:r>
    </w:p>
    <w:p w:rsidR="00596ABA" w:rsidRPr="005533B5" w:rsidRDefault="00596ABA" w:rsidP="00596ABA">
      <w:r>
        <w:rPr>
          <w:rFonts w:hint="eastAsia"/>
        </w:rPr>
        <w:t>（</w:t>
      </w:r>
      <w:r>
        <w:rPr>
          <w:rFonts w:hint="eastAsia"/>
        </w:rPr>
        <w:t>2</w:t>
      </w:r>
      <w:r>
        <w:rPr>
          <w:rFonts w:hint="eastAsia"/>
        </w:rPr>
        <w:t>）提供适用于</w:t>
      </w:r>
      <w:r w:rsidRPr="00596ABA">
        <w:rPr>
          <w:rFonts w:hint="eastAsia"/>
        </w:rPr>
        <w:t>武汉</w:t>
      </w:r>
      <w:r>
        <w:rPr>
          <w:rFonts w:hint="eastAsia"/>
        </w:rPr>
        <w:t>地区法院的精细化编目规则。</w:t>
      </w:r>
    </w:p>
    <w:p w:rsidR="00596ABA" w:rsidRDefault="00596ABA" w:rsidP="00596ABA">
      <w:r>
        <w:rPr>
          <w:rFonts w:hint="eastAsia"/>
        </w:rPr>
        <w:t>（</w:t>
      </w:r>
      <w:r>
        <w:rPr>
          <w:rFonts w:hint="eastAsia"/>
        </w:rPr>
        <w:t>3</w:t>
      </w:r>
      <w:r>
        <w:rPr>
          <w:rFonts w:hint="eastAsia"/>
        </w:rPr>
        <w:t>）提供案件纸质卷宗排序标准。</w:t>
      </w:r>
    </w:p>
    <w:p w:rsidR="00306A5D" w:rsidRDefault="00306A5D" w:rsidP="00306A5D">
      <w:pPr>
        <w:pStyle w:val="3"/>
      </w:pPr>
      <w:r>
        <w:rPr>
          <w:rFonts w:hint="eastAsia"/>
        </w:rPr>
        <w:t>服务质量</w:t>
      </w:r>
    </w:p>
    <w:p w:rsidR="00306A5D" w:rsidRDefault="00306A5D" w:rsidP="00306A5D">
      <w:r>
        <w:rPr>
          <w:rFonts w:hint="eastAsia"/>
        </w:rPr>
        <w:t>（</w:t>
      </w:r>
      <w:r>
        <w:rPr>
          <w:rFonts w:hint="eastAsia"/>
        </w:rPr>
        <w:t>1</w:t>
      </w:r>
      <w:r>
        <w:rPr>
          <w:rFonts w:hint="eastAsia"/>
        </w:rPr>
        <w:t>）提供全流程服务绩效考核体系。</w:t>
      </w:r>
    </w:p>
    <w:p w:rsidR="00306A5D" w:rsidRDefault="00306A5D" w:rsidP="00306A5D">
      <w:r>
        <w:rPr>
          <w:rFonts w:hint="eastAsia"/>
        </w:rPr>
        <w:t>（</w:t>
      </w:r>
      <w:r>
        <w:rPr>
          <w:rFonts w:hint="eastAsia"/>
        </w:rPr>
        <w:t>2</w:t>
      </w:r>
      <w:r>
        <w:rPr>
          <w:rFonts w:hint="eastAsia"/>
        </w:rPr>
        <w:t>）提供绩效管理办法。</w:t>
      </w:r>
    </w:p>
    <w:p w:rsidR="00622D2F" w:rsidRPr="00596ABA" w:rsidRDefault="00306A5D" w:rsidP="00306A5D">
      <w:r>
        <w:rPr>
          <w:rFonts w:hint="eastAsia"/>
        </w:rPr>
        <w:t>（</w:t>
      </w:r>
      <w:r>
        <w:rPr>
          <w:rFonts w:hint="eastAsia"/>
        </w:rPr>
        <w:t>3</w:t>
      </w:r>
      <w:r>
        <w:rPr>
          <w:rFonts w:hint="eastAsia"/>
        </w:rPr>
        <w:t>）提供全流程服务数据监管、统计与上报方案</w:t>
      </w:r>
    </w:p>
    <w:sectPr w:rsidR="00622D2F" w:rsidRPr="00596ABA">
      <w:headerReference w:type="default" r:id="rId9"/>
      <w:footerReference w:type="default" r:id="rId10"/>
      <w:pgSz w:w="11906" w:h="16838"/>
      <w:pgMar w:top="1247" w:right="1588" w:bottom="1701" w:left="1701" w:header="851" w:footer="1077" w:gutter="0"/>
      <w:pgNumType w:start="1"/>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4B1" w:rsidRDefault="004714B1">
      <w:pPr>
        <w:spacing w:line="240" w:lineRule="auto"/>
      </w:pPr>
      <w:r>
        <w:separator/>
      </w:r>
    </w:p>
  </w:endnote>
  <w:endnote w:type="continuationSeparator" w:id="0">
    <w:p w:rsidR="004714B1" w:rsidRDefault="004714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Lucida Sans Unicode">
    <w:panose1 w:val="020B0602030504020204"/>
    <w:charset w:val="00"/>
    <w:family w:val="swiss"/>
    <w:pitch w:val="variable"/>
    <w:sig w:usb0="80000AFF" w:usb1="0000396B" w:usb2="00000000" w:usb3="00000000" w:csb0="000000B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D2F" w:rsidRDefault="00655E15">
    <w:pPr>
      <w:pStyle w:val="a4"/>
      <w:ind w:right="180"/>
      <w:jc w:val="right"/>
    </w:pPr>
    <w:r>
      <w:tab/>
    </w:r>
    <w:r>
      <w:fldChar w:fldCharType="begin"/>
    </w:r>
    <w:r>
      <w:instrText>PAGE   \* MERGEFORMAT</w:instrText>
    </w:r>
    <w:r>
      <w:fldChar w:fldCharType="separate"/>
    </w:r>
    <w:r w:rsidR="002B6069" w:rsidRPr="002B6069">
      <w:rPr>
        <w:noProof/>
        <w:lang w:val="zh-CN"/>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4B1" w:rsidRDefault="004714B1">
      <w:r>
        <w:separator/>
      </w:r>
    </w:p>
  </w:footnote>
  <w:footnote w:type="continuationSeparator" w:id="0">
    <w:p w:rsidR="004714B1" w:rsidRDefault="004714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D2F" w:rsidRDefault="00622D2F">
    <w:pPr>
      <w:pStyle w:val="a5"/>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D2F" w:rsidRDefault="00622D2F">
    <w:pPr>
      <w:pStyle w:val="a5"/>
      <w:ind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0729FB"/>
    <w:multiLevelType w:val="singleLevel"/>
    <w:tmpl w:val="9C0729FB"/>
    <w:lvl w:ilvl="0">
      <w:start w:val="2"/>
      <w:numFmt w:val="decimal"/>
      <w:suff w:val="nothing"/>
      <w:lvlText w:val="（%1）"/>
      <w:lvlJc w:val="left"/>
    </w:lvl>
  </w:abstractNum>
  <w:abstractNum w:abstractNumId="1">
    <w:nsid w:val="08D61838"/>
    <w:multiLevelType w:val="multilevel"/>
    <w:tmpl w:val="CE589DF2"/>
    <w:lvl w:ilvl="0">
      <w:start w:val="1"/>
      <w:numFmt w:val="decimal"/>
      <w:pStyle w:val="1"/>
      <w:suff w:val="nothing"/>
      <w:lvlText w:val="%1  "/>
      <w:lvlJc w:val="left"/>
      <w:pPr>
        <w:ind w:left="0" w:firstLine="0"/>
      </w:pPr>
      <w:rPr>
        <w:rFonts w:ascii="Times New Roman" w:eastAsia="宋体" w:hAnsi="Times New Roman" w:hint="default"/>
        <w:b/>
        <w:i w:val="0"/>
        <w:sz w:val="28"/>
      </w:rPr>
    </w:lvl>
    <w:lvl w:ilvl="1">
      <w:start w:val="1"/>
      <w:numFmt w:val="decimal"/>
      <w:pStyle w:val="2"/>
      <w:suff w:val="nothing"/>
      <w:lvlText w:val="%1.%2 "/>
      <w:lvlJc w:val="left"/>
      <w:pPr>
        <w:ind w:left="0" w:firstLine="0"/>
      </w:pPr>
      <w:rPr>
        <w:rFonts w:ascii="Times New Roman" w:eastAsia="宋体" w:hAnsi="Times New Roman" w:hint="default"/>
        <w:b/>
        <w:i w:val="0"/>
        <w:sz w:val="24"/>
      </w:rPr>
    </w:lvl>
    <w:lvl w:ilvl="2">
      <w:start w:val="1"/>
      <w:numFmt w:val="decimal"/>
      <w:pStyle w:val="3"/>
      <w:suff w:val="nothing"/>
      <w:lvlText w:val="%1.%2.%3 "/>
      <w:lvlJc w:val="left"/>
      <w:pPr>
        <w:ind w:left="0" w:firstLine="0"/>
      </w:pPr>
      <w:rPr>
        <w:rFonts w:ascii="Times New Roman" w:eastAsia="宋体" w:hAnsi="Times New Roman" w:hint="default"/>
        <w:b/>
        <w:i w:val="0"/>
        <w:sz w:val="24"/>
      </w:rPr>
    </w:lvl>
    <w:lvl w:ilvl="3">
      <w:start w:val="1"/>
      <w:numFmt w:val="decimal"/>
      <w:pStyle w:val="4"/>
      <w:suff w:val="nothing"/>
      <w:lvlText w:val="%1.%2.%3.%4 "/>
      <w:lvlJc w:val="left"/>
      <w:pPr>
        <w:ind w:left="0" w:firstLine="0"/>
      </w:pPr>
      <w:rPr>
        <w:rFonts w:ascii="Times New Roman" w:eastAsia="宋体" w:hAnsi="Times New Roman" w:hint="default"/>
        <w:b/>
        <w:i w:val="0"/>
        <w:sz w:val="24"/>
      </w:rPr>
    </w:lvl>
    <w:lvl w:ilvl="4">
      <w:start w:val="1"/>
      <w:numFmt w:val="decimal"/>
      <w:pStyle w:val="5"/>
      <w:suff w:val="nothing"/>
      <w:lvlText w:val="%1.%2.%3.%4.%5 "/>
      <w:lvlJc w:val="left"/>
      <w:pPr>
        <w:ind w:left="0" w:firstLine="0"/>
      </w:pPr>
      <w:rPr>
        <w:rFonts w:ascii="Times New Roman" w:eastAsia="宋体" w:hAnsi="Times New Roman" w:hint="default"/>
        <w:b/>
        <w:i w:val="0"/>
        <w:sz w:val="24"/>
      </w:rPr>
    </w:lvl>
    <w:lvl w:ilvl="5">
      <w:start w:val="1"/>
      <w:numFmt w:val="decimal"/>
      <w:pStyle w:val="6"/>
      <w:suff w:val="nothing"/>
      <w:lvlText w:val="%1.%2.%3.%4.%5.%6 "/>
      <w:lvlJc w:val="left"/>
      <w:pPr>
        <w:ind w:left="0" w:firstLine="0"/>
      </w:pPr>
      <w:rPr>
        <w:rFonts w:ascii="Times New Roman" w:eastAsia="宋体" w:hAnsi="Times New Roman" w:hint="default"/>
        <w:b/>
        <w:i w:val="0"/>
        <w:sz w:val="24"/>
      </w:rPr>
    </w:lvl>
    <w:lvl w:ilvl="6">
      <w:start w:val="1"/>
      <w:numFmt w:val="decimal"/>
      <w:pStyle w:val="7"/>
      <w:suff w:val="nothing"/>
      <w:lvlText w:val="%1.%2.%3.%4.%5.%6.%7 "/>
      <w:lvlJc w:val="left"/>
      <w:pPr>
        <w:ind w:left="0" w:firstLine="0"/>
      </w:pPr>
      <w:rPr>
        <w:rFonts w:ascii="Times New Roman" w:eastAsia="宋体" w:hAnsi="Times New Roman" w:hint="default"/>
        <w:b/>
        <w:i w:val="0"/>
      </w:rPr>
    </w:lvl>
    <w:lvl w:ilvl="7">
      <w:start w:val="1"/>
      <w:numFmt w:val="decimal"/>
      <w:pStyle w:val="8"/>
      <w:suff w:val="nothing"/>
      <w:lvlText w:val="%1.%2.%3.%4.%5.%6.%7.%8 "/>
      <w:lvlJc w:val="left"/>
      <w:pPr>
        <w:ind w:left="0" w:firstLine="0"/>
      </w:pPr>
      <w:rPr>
        <w:rFonts w:ascii="Times New Roman" w:eastAsia="宋体" w:hAnsi="Times New Roman" w:hint="default"/>
        <w:b/>
        <w:i w:val="0"/>
        <w:sz w:val="24"/>
      </w:rPr>
    </w:lvl>
    <w:lvl w:ilvl="8">
      <w:start w:val="1"/>
      <w:numFmt w:val="decimal"/>
      <w:pStyle w:val="9"/>
      <w:suff w:val="nothing"/>
      <w:lvlText w:val="%1.%2.%3.%4.%5.%6.%7.%8.%9 "/>
      <w:lvlJc w:val="left"/>
      <w:pPr>
        <w:ind w:left="0" w:firstLine="0"/>
      </w:pPr>
      <w:rPr>
        <w:rFonts w:ascii="Times New Roman" w:eastAsia="宋体" w:hAnsi="Times New Roman" w:hint="default"/>
        <w:b/>
        <w:i w:val="0"/>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E5ZGVlZDA1M2I4OGRkN2YzNTA2YzAzYmRkMTQzOTEifQ=="/>
  </w:docVars>
  <w:rsids>
    <w:rsidRoot w:val="00D163CD"/>
    <w:rsid w:val="00016810"/>
    <w:rsid w:val="00113C37"/>
    <w:rsid w:val="001C3878"/>
    <w:rsid w:val="002A3731"/>
    <w:rsid w:val="002B6069"/>
    <w:rsid w:val="002E6814"/>
    <w:rsid w:val="00306A5D"/>
    <w:rsid w:val="004714B1"/>
    <w:rsid w:val="00592AC9"/>
    <w:rsid w:val="00596ABA"/>
    <w:rsid w:val="00622D2F"/>
    <w:rsid w:val="00655E15"/>
    <w:rsid w:val="00747A47"/>
    <w:rsid w:val="009A23B4"/>
    <w:rsid w:val="00D163CD"/>
    <w:rsid w:val="00E33181"/>
    <w:rsid w:val="00FD57E7"/>
    <w:rsid w:val="023F6F73"/>
    <w:rsid w:val="07123852"/>
    <w:rsid w:val="1DE64BFA"/>
    <w:rsid w:val="2460453E"/>
    <w:rsid w:val="3C805325"/>
    <w:rsid w:val="482A083B"/>
    <w:rsid w:val="4D260E21"/>
    <w:rsid w:val="59304E61"/>
    <w:rsid w:val="61405FF8"/>
    <w:rsid w:val="675E4442"/>
    <w:rsid w:val="6B9C5F42"/>
    <w:rsid w:val="7A4867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semiHidden="0" w:uiPriority="39" w:unhideWhenUsed="0" w:qFormat="1"/>
    <w:lsdException w:name="toc 2" w:semiHidden="0" w:uiPriority="39" w:unhideWhenUsed="0" w:qFormat="1"/>
    <w:lsdException w:name="toc 3" w:semiHidden="0" w:uiPriority="39"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uiPriority="0" w:qFormat="1"/>
    <w:lsdException w:name="caption" w:uiPriority="35" w:qFormat="1"/>
    <w:lsdException w:name="Title" w:semiHidden="0" w:uiPriority="10" w:unhideWhenUsed="0" w:qFormat="1"/>
    <w:lsdException w:name="Default Paragraph Font" w:uiPriority="1" w:qFormat="1"/>
    <w:lsdException w:name="Body Text Indent" w:semiHidden="0" w:uiPriority="0" w:qFormat="1"/>
    <w:lsdException w:name="Subtitle" w:semiHidden="0" w:uiPriority="11" w:unhideWhenUsed="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line="360" w:lineRule="auto"/>
      <w:ind w:firstLine="420"/>
    </w:pPr>
    <w:rPr>
      <w:rFonts w:ascii="Times New Roman" w:eastAsia="宋体" w:hAnsi="Times New Roman" w:cs="宋体"/>
      <w:kern w:val="2"/>
      <w:sz w:val="24"/>
    </w:rPr>
  </w:style>
  <w:style w:type="paragraph" w:styleId="1">
    <w:name w:val="heading 1"/>
    <w:basedOn w:val="4"/>
    <w:next w:val="a"/>
    <w:link w:val="1Char"/>
    <w:qFormat/>
    <w:pPr>
      <w:numPr>
        <w:ilvl w:val="0"/>
      </w:numPr>
      <w:outlineLvl w:val="0"/>
    </w:pPr>
    <w:rPr>
      <w:rFonts w:ascii="Times New Roman" w:hAnsi="Times New Roman"/>
      <w:sz w:val="28"/>
    </w:rPr>
  </w:style>
  <w:style w:type="paragraph" w:styleId="2">
    <w:name w:val="heading 2"/>
    <w:basedOn w:val="a"/>
    <w:next w:val="a"/>
    <w:link w:val="2Char"/>
    <w:qFormat/>
    <w:pPr>
      <w:keepNext/>
      <w:keepLines/>
      <w:numPr>
        <w:ilvl w:val="1"/>
        <w:numId w:val="1"/>
      </w:numPr>
      <w:outlineLvl w:val="1"/>
    </w:pPr>
    <w:rPr>
      <w:b/>
      <w:bCs/>
    </w:rPr>
  </w:style>
  <w:style w:type="paragraph" w:styleId="3">
    <w:name w:val="heading 3"/>
    <w:basedOn w:val="a"/>
    <w:next w:val="a"/>
    <w:link w:val="3Char"/>
    <w:qFormat/>
    <w:pPr>
      <w:keepNext/>
      <w:keepLines/>
      <w:numPr>
        <w:ilvl w:val="2"/>
        <w:numId w:val="1"/>
      </w:numPr>
      <w:outlineLvl w:val="2"/>
    </w:pPr>
    <w:rPr>
      <w:b/>
      <w:bCs/>
      <w:szCs w:val="32"/>
    </w:rPr>
  </w:style>
  <w:style w:type="paragraph" w:styleId="4">
    <w:name w:val="heading 4"/>
    <w:basedOn w:val="3"/>
    <w:next w:val="a"/>
    <w:link w:val="4Char"/>
    <w:qFormat/>
    <w:pPr>
      <w:numPr>
        <w:ilvl w:val="3"/>
      </w:numPr>
      <w:outlineLvl w:val="3"/>
    </w:pPr>
    <w:rPr>
      <w:rFonts w:ascii="Arial" w:hAnsi="Arial"/>
      <w:szCs w:val="28"/>
    </w:rPr>
  </w:style>
  <w:style w:type="paragraph" w:styleId="5">
    <w:name w:val="heading 5"/>
    <w:basedOn w:val="a"/>
    <w:next w:val="a"/>
    <w:link w:val="5Char"/>
    <w:qFormat/>
    <w:pPr>
      <w:keepNext/>
      <w:keepLines/>
      <w:numPr>
        <w:ilvl w:val="4"/>
        <w:numId w:val="1"/>
      </w:numPr>
      <w:outlineLvl w:val="4"/>
    </w:pPr>
    <w:rPr>
      <w:b/>
      <w:bCs/>
      <w:szCs w:val="28"/>
    </w:rPr>
  </w:style>
  <w:style w:type="paragraph" w:styleId="6">
    <w:name w:val="heading 6"/>
    <w:basedOn w:val="a"/>
    <w:next w:val="a"/>
    <w:link w:val="6Char"/>
    <w:qFormat/>
    <w:pPr>
      <w:keepNext/>
      <w:keepLines/>
      <w:numPr>
        <w:ilvl w:val="5"/>
        <w:numId w:val="1"/>
      </w:numPr>
      <w:outlineLvl w:val="5"/>
    </w:pPr>
    <w:rPr>
      <w:rFonts w:ascii="Arial" w:hAnsi="Arial"/>
      <w:b/>
      <w:bCs/>
    </w:rPr>
  </w:style>
  <w:style w:type="paragraph" w:styleId="7">
    <w:name w:val="heading 7"/>
    <w:basedOn w:val="a"/>
    <w:next w:val="a"/>
    <w:link w:val="7Char"/>
    <w:qFormat/>
    <w:pPr>
      <w:keepNext/>
      <w:keepLines/>
      <w:numPr>
        <w:ilvl w:val="6"/>
        <w:numId w:val="1"/>
      </w:numPr>
      <w:outlineLvl w:val="6"/>
    </w:pPr>
    <w:rPr>
      <w:b/>
      <w:bCs/>
    </w:rPr>
  </w:style>
  <w:style w:type="paragraph" w:styleId="8">
    <w:name w:val="heading 8"/>
    <w:basedOn w:val="a"/>
    <w:next w:val="a"/>
    <w:link w:val="8Char"/>
    <w:qFormat/>
    <w:pPr>
      <w:keepNext/>
      <w:keepLines/>
      <w:numPr>
        <w:ilvl w:val="7"/>
        <w:numId w:val="1"/>
      </w:numPr>
      <w:outlineLvl w:val="7"/>
    </w:pPr>
    <w:rPr>
      <w:rFonts w:ascii="Arial" w:hAnsi="Arial"/>
      <w:b/>
    </w:rPr>
  </w:style>
  <w:style w:type="paragraph" w:styleId="9">
    <w:name w:val="heading 9"/>
    <w:basedOn w:val="a"/>
    <w:next w:val="a"/>
    <w:link w:val="9Char"/>
    <w:qFormat/>
    <w:pPr>
      <w:keepNext/>
      <w:keepLines/>
      <w:numPr>
        <w:ilvl w:val="8"/>
        <w:numId w:val="1"/>
      </w:numPr>
      <w:outlineLvl w:val="8"/>
    </w:pPr>
    <w:rPr>
      <w:rFonts w:ascii="Arial" w:hAnsi="Arial"/>
      <w:b/>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nhideWhenUsed/>
    <w:qFormat/>
    <w:pPr>
      <w:spacing w:after="120"/>
      <w:ind w:leftChars="200" w:left="420"/>
    </w:pPr>
  </w:style>
  <w:style w:type="paragraph" w:styleId="30">
    <w:name w:val="toc 3"/>
    <w:basedOn w:val="a"/>
    <w:next w:val="a"/>
    <w:uiPriority w:val="39"/>
    <w:qFormat/>
    <w:pPr>
      <w:spacing w:line="240" w:lineRule="auto"/>
      <w:ind w:leftChars="400" w:left="400" w:firstLine="0"/>
    </w:pPr>
  </w:style>
  <w:style w:type="paragraph" w:styleId="a4">
    <w:name w:val="footer"/>
    <w:basedOn w:val="a"/>
    <w:link w:val="Char0"/>
    <w:unhideWhenUsed/>
    <w:qFormat/>
    <w:pPr>
      <w:tabs>
        <w:tab w:val="center" w:pos="4153"/>
        <w:tab w:val="right" w:pos="8306"/>
      </w:tabs>
      <w:snapToGrid w:val="0"/>
    </w:pPr>
    <w:rPr>
      <w:sz w:val="18"/>
      <w:szCs w:val="18"/>
    </w:rPr>
  </w:style>
  <w:style w:type="paragraph" w:styleId="a5">
    <w:name w:val="header"/>
    <w:basedOn w:val="a"/>
    <w:next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ind w:firstLine="0"/>
    </w:pPr>
    <w:rPr>
      <w:b/>
    </w:rPr>
  </w:style>
  <w:style w:type="paragraph" w:styleId="20">
    <w:name w:val="toc 2"/>
    <w:basedOn w:val="a"/>
    <w:next w:val="a"/>
    <w:uiPriority w:val="39"/>
    <w:qFormat/>
    <w:pPr>
      <w:ind w:leftChars="200" w:left="200" w:firstLine="0"/>
    </w:pPr>
  </w:style>
  <w:style w:type="paragraph" w:styleId="21">
    <w:name w:val="Body Text First Indent 2"/>
    <w:basedOn w:val="a3"/>
    <w:link w:val="2Char0"/>
    <w:qFormat/>
    <w:pPr>
      <w:widowControl w:val="0"/>
      <w:spacing w:after="0"/>
      <w:ind w:leftChars="0" w:left="0" w:firstLineChars="200" w:firstLine="200"/>
      <w:jc w:val="both"/>
    </w:pPr>
    <w:rPr>
      <w:rFonts w:cs="Times New Roman"/>
      <w:szCs w:val="24"/>
    </w:rPr>
  </w:style>
  <w:style w:type="character" w:customStyle="1" w:styleId="Char1">
    <w:name w:val="页眉 Char"/>
    <w:basedOn w:val="a0"/>
    <w:link w:val="a5"/>
    <w:uiPriority w:val="99"/>
    <w:qFormat/>
    <w:rPr>
      <w:sz w:val="18"/>
      <w:szCs w:val="18"/>
    </w:rPr>
  </w:style>
  <w:style w:type="character" w:customStyle="1" w:styleId="Char0">
    <w:name w:val="页脚 Char"/>
    <w:basedOn w:val="a0"/>
    <w:link w:val="a4"/>
    <w:qFormat/>
    <w:rPr>
      <w:sz w:val="18"/>
      <w:szCs w:val="18"/>
    </w:rPr>
  </w:style>
  <w:style w:type="character" w:customStyle="1" w:styleId="1Char">
    <w:name w:val="标题 1 Char"/>
    <w:basedOn w:val="a0"/>
    <w:link w:val="1"/>
    <w:qFormat/>
    <w:rPr>
      <w:rFonts w:ascii="Times New Roman" w:eastAsia="宋体" w:hAnsi="Times New Roman" w:cs="宋体"/>
      <w:b/>
      <w:bCs/>
      <w:kern w:val="2"/>
      <w:sz w:val="28"/>
      <w:szCs w:val="28"/>
    </w:rPr>
  </w:style>
  <w:style w:type="character" w:customStyle="1" w:styleId="2Char">
    <w:name w:val="标题 2 Char"/>
    <w:basedOn w:val="a0"/>
    <w:link w:val="2"/>
    <w:qFormat/>
    <w:rPr>
      <w:rFonts w:ascii="Times New Roman" w:eastAsia="宋体" w:hAnsi="Times New Roman" w:cs="宋体"/>
      <w:b/>
      <w:bCs/>
      <w:kern w:val="2"/>
      <w:sz w:val="24"/>
    </w:rPr>
  </w:style>
  <w:style w:type="character" w:customStyle="1" w:styleId="3Char">
    <w:name w:val="标题 3 Char"/>
    <w:basedOn w:val="a0"/>
    <w:link w:val="3"/>
    <w:qFormat/>
    <w:rPr>
      <w:rFonts w:ascii="Times New Roman" w:eastAsia="宋体" w:hAnsi="Times New Roman" w:cs="宋体"/>
      <w:b/>
      <w:bCs/>
      <w:kern w:val="2"/>
      <w:sz w:val="24"/>
      <w:szCs w:val="32"/>
    </w:rPr>
  </w:style>
  <w:style w:type="character" w:customStyle="1" w:styleId="4Char">
    <w:name w:val="标题 4 Char"/>
    <w:basedOn w:val="a0"/>
    <w:link w:val="4"/>
    <w:qFormat/>
    <w:rPr>
      <w:rFonts w:ascii="Arial" w:eastAsia="宋体" w:hAnsi="Arial" w:cs="宋体"/>
      <w:b/>
      <w:bCs/>
      <w:kern w:val="2"/>
      <w:sz w:val="24"/>
      <w:szCs w:val="28"/>
    </w:rPr>
  </w:style>
  <w:style w:type="character" w:customStyle="1" w:styleId="5Char">
    <w:name w:val="标题 5 Char"/>
    <w:basedOn w:val="a0"/>
    <w:link w:val="5"/>
    <w:qFormat/>
    <w:rPr>
      <w:rFonts w:ascii="Times New Roman" w:eastAsia="宋体" w:hAnsi="Times New Roman" w:cs="宋体"/>
      <w:b/>
      <w:bCs/>
      <w:kern w:val="2"/>
      <w:sz w:val="24"/>
      <w:szCs w:val="28"/>
    </w:rPr>
  </w:style>
  <w:style w:type="character" w:customStyle="1" w:styleId="6Char">
    <w:name w:val="标题 6 Char"/>
    <w:basedOn w:val="a0"/>
    <w:link w:val="6"/>
    <w:qFormat/>
    <w:rPr>
      <w:rFonts w:ascii="Arial" w:eastAsia="宋体" w:hAnsi="Arial" w:cs="宋体"/>
      <w:b/>
      <w:bCs/>
      <w:kern w:val="2"/>
      <w:sz w:val="24"/>
    </w:rPr>
  </w:style>
  <w:style w:type="character" w:customStyle="1" w:styleId="7Char">
    <w:name w:val="标题 7 Char"/>
    <w:basedOn w:val="a0"/>
    <w:link w:val="7"/>
    <w:qFormat/>
    <w:rPr>
      <w:rFonts w:ascii="Times New Roman" w:eastAsia="宋体" w:hAnsi="Times New Roman" w:cs="宋体"/>
      <w:b/>
      <w:bCs/>
      <w:kern w:val="2"/>
      <w:sz w:val="24"/>
    </w:rPr>
  </w:style>
  <w:style w:type="character" w:customStyle="1" w:styleId="8Char">
    <w:name w:val="标题 8 Char"/>
    <w:basedOn w:val="a0"/>
    <w:link w:val="8"/>
    <w:qFormat/>
    <w:rPr>
      <w:rFonts w:ascii="Arial" w:eastAsia="宋体" w:hAnsi="Arial" w:cs="宋体"/>
      <w:b/>
      <w:kern w:val="2"/>
      <w:sz w:val="24"/>
    </w:rPr>
  </w:style>
  <w:style w:type="character" w:customStyle="1" w:styleId="9Char">
    <w:name w:val="标题 9 Char"/>
    <w:basedOn w:val="a0"/>
    <w:link w:val="9"/>
    <w:qFormat/>
    <w:rPr>
      <w:rFonts w:ascii="Arial" w:eastAsia="宋体" w:hAnsi="Arial" w:cs="宋体"/>
      <w:b/>
      <w:kern w:val="2"/>
      <w:sz w:val="24"/>
      <w:szCs w:val="21"/>
    </w:rPr>
  </w:style>
  <w:style w:type="character" w:customStyle="1" w:styleId="Char">
    <w:name w:val="正文文本缩进 Char"/>
    <w:basedOn w:val="a0"/>
    <w:link w:val="a3"/>
    <w:qFormat/>
    <w:rPr>
      <w:rFonts w:ascii="Times New Roman" w:eastAsia="宋体" w:hAnsi="Times New Roman" w:cs="宋体"/>
      <w:sz w:val="24"/>
      <w:szCs w:val="20"/>
    </w:rPr>
  </w:style>
  <w:style w:type="character" w:customStyle="1" w:styleId="2Char0">
    <w:name w:val="正文首行缩进 2 Char"/>
    <w:basedOn w:val="Char"/>
    <w:link w:val="21"/>
    <w:qFormat/>
    <w:rPr>
      <w:rFonts w:ascii="Times New Roman" w:eastAsia="宋体" w:hAnsi="Times New Roman" w:cs="Times New Roman"/>
      <w:sz w:val="24"/>
      <w:szCs w:val="24"/>
    </w:rPr>
  </w:style>
  <w:style w:type="paragraph" w:styleId="a6">
    <w:name w:val="List Paragraph"/>
    <w:basedOn w:val="a"/>
    <w:next w:val="a"/>
    <w:uiPriority w:val="34"/>
    <w:qFormat/>
    <w:pPr>
      <w:ind w:firstLineChars="200" w:firstLine="200"/>
    </w:pPr>
  </w:style>
  <w:style w:type="character" w:customStyle="1" w:styleId="Char2">
    <w:name w:val="列出段落 Char"/>
    <w:link w:val="11"/>
    <w:qFormat/>
    <w:rPr>
      <w:rFonts w:ascii="Calibri" w:hAnsi="Calibri"/>
    </w:rPr>
  </w:style>
  <w:style w:type="paragraph" w:customStyle="1" w:styleId="11">
    <w:name w:val="列出段落1"/>
    <w:basedOn w:val="a"/>
    <w:link w:val="Char2"/>
    <w:qFormat/>
    <w:pPr>
      <w:widowControl w:val="0"/>
      <w:spacing w:line="240" w:lineRule="auto"/>
      <w:ind w:firstLineChars="200" w:firstLine="200"/>
      <w:jc w:val="both"/>
    </w:pPr>
    <w:rPr>
      <w:rFonts w:ascii="Calibri" w:eastAsiaTheme="minorEastAsia" w:hAnsi="Calibri" w:cstheme="minorBidi"/>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semiHidden="0" w:uiPriority="39" w:unhideWhenUsed="0" w:qFormat="1"/>
    <w:lsdException w:name="toc 2" w:semiHidden="0" w:uiPriority="39" w:unhideWhenUsed="0" w:qFormat="1"/>
    <w:lsdException w:name="toc 3" w:semiHidden="0" w:uiPriority="39"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uiPriority="0" w:qFormat="1"/>
    <w:lsdException w:name="caption" w:uiPriority="35" w:qFormat="1"/>
    <w:lsdException w:name="Title" w:semiHidden="0" w:uiPriority="10" w:unhideWhenUsed="0" w:qFormat="1"/>
    <w:lsdException w:name="Default Paragraph Font" w:uiPriority="1" w:qFormat="1"/>
    <w:lsdException w:name="Body Text Indent" w:semiHidden="0" w:uiPriority="0" w:qFormat="1"/>
    <w:lsdException w:name="Subtitle" w:semiHidden="0" w:uiPriority="11" w:unhideWhenUsed="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line="360" w:lineRule="auto"/>
      <w:ind w:firstLine="420"/>
    </w:pPr>
    <w:rPr>
      <w:rFonts w:ascii="Times New Roman" w:eastAsia="宋体" w:hAnsi="Times New Roman" w:cs="宋体"/>
      <w:kern w:val="2"/>
      <w:sz w:val="24"/>
    </w:rPr>
  </w:style>
  <w:style w:type="paragraph" w:styleId="1">
    <w:name w:val="heading 1"/>
    <w:basedOn w:val="4"/>
    <w:next w:val="a"/>
    <w:link w:val="1Char"/>
    <w:qFormat/>
    <w:pPr>
      <w:numPr>
        <w:ilvl w:val="0"/>
      </w:numPr>
      <w:outlineLvl w:val="0"/>
    </w:pPr>
    <w:rPr>
      <w:rFonts w:ascii="Times New Roman" w:hAnsi="Times New Roman"/>
      <w:sz w:val="28"/>
    </w:rPr>
  </w:style>
  <w:style w:type="paragraph" w:styleId="2">
    <w:name w:val="heading 2"/>
    <w:basedOn w:val="a"/>
    <w:next w:val="a"/>
    <w:link w:val="2Char"/>
    <w:qFormat/>
    <w:pPr>
      <w:keepNext/>
      <w:keepLines/>
      <w:numPr>
        <w:ilvl w:val="1"/>
        <w:numId w:val="1"/>
      </w:numPr>
      <w:outlineLvl w:val="1"/>
    </w:pPr>
    <w:rPr>
      <w:b/>
      <w:bCs/>
    </w:rPr>
  </w:style>
  <w:style w:type="paragraph" w:styleId="3">
    <w:name w:val="heading 3"/>
    <w:basedOn w:val="a"/>
    <w:next w:val="a"/>
    <w:link w:val="3Char"/>
    <w:qFormat/>
    <w:pPr>
      <w:keepNext/>
      <w:keepLines/>
      <w:numPr>
        <w:ilvl w:val="2"/>
        <w:numId w:val="1"/>
      </w:numPr>
      <w:outlineLvl w:val="2"/>
    </w:pPr>
    <w:rPr>
      <w:b/>
      <w:bCs/>
      <w:szCs w:val="32"/>
    </w:rPr>
  </w:style>
  <w:style w:type="paragraph" w:styleId="4">
    <w:name w:val="heading 4"/>
    <w:basedOn w:val="3"/>
    <w:next w:val="a"/>
    <w:link w:val="4Char"/>
    <w:qFormat/>
    <w:pPr>
      <w:numPr>
        <w:ilvl w:val="3"/>
      </w:numPr>
      <w:outlineLvl w:val="3"/>
    </w:pPr>
    <w:rPr>
      <w:rFonts w:ascii="Arial" w:hAnsi="Arial"/>
      <w:szCs w:val="28"/>
    </w:rPr>
  </w:style>
  <w:style w:type="paragraph" w:styleId="5">
    <w:name w:val="heading 5"/>
    <w:basedOn w:val="a"/>
    <w:next w:val="a"/>
    <w:link w:val="5Char"/>
    <w:qFormat/>
    <w:pPr>
      <w:keepNext/>
      <w:keepLines/>
      <w:numPr>
        <w:ilvl w:val="4"/>
        <w:numId w:val="1"/>
      </w:numPr>
      <w:outlineLvl w:val="4"/>
    </w:pPr>
    <w:rPr>
      <w:b/>
      <w:bCs/>
      <w:szCs w:val="28"/>
    </w:rPr>
  </w:style>
  <w:style w:type="paragraph" w:styleId="6">
    <w:name w:val="heading 6"/>
    <w:basedOn w:val="a"/>
    <w:next w:val="a"/>
    <w:link w:val="6Char"/>
    <w:qFormat/>
    <w:pPr>
      <w:keepNext/>
      <w:keepLines/>
      <w:numPr>
        <w:ilvl w:val="5"/>
        <w:numId w:val="1"/>
      </w:numPr>
      <w:outlineLvl w:val="5"/>
    </w:pPr>
    <w:rPr>
      <w:rFonts w:ascii="Arial" w:hAnsi="Arial"/>
      <w:b/>
      <w:bCs/>
    </w:rPr>
  </w:style>
  <w:style w:type="paragraph" w:styleId="7">
    <w:name w:val="heading 7"/>
    <w:basedOn w:val="a"/>
    <w:next w:val="a"/>
    <w:link w:val="7Char"/>
    <w:qFormat/>
    <w:pPr>
      <w:keepNext/>
      <w:keepLines/>
      <w:numPr>
        <w:ilvl w:val="6"/>
        <w:numId w:val="1"/>
      </w:numPr>
      <w:outlineLvl w:val="6"/>
    </w:pPr>
    <w:rPr>
      <w:b/>
      <w:bCs/>
    </w:rPr>
  </w:style>
  <w:style w:type="paragraph" w:styleId="8">
    <w:name w:val="heading 8"/>
    <w:basedOn w:val="a"/>
    <w:next w:val="a"/>
    <w:link w:val="8Char"/>
    <w:qFormat/>
    <w:pPr>
      <w:keepNext/>
      <w:keepLines/>
      <w:numPr>
        <w:ilvl w:val="7"/>
        <w:numId w:val="1"/>
      </w:numPr>
      <w:outlineLvl w:val="7"/>
    </w:pPr>
    <w:rPr>
      <w:rFonts w:ascii="Arial" w:hAnsi="Arial"/>
      <w:b/>
    </w:rPr>
  </w:style>
  <w:style w:type="paragraph" w:styleId="9">
    <w:name w:val="heading 9"/>
    <w:basedOn w:val="a"/>
    <w:next w:val="a"/>
    <w:link w:val="9Char"/>
    <w:qFormat/>
    <w:pPr>
      <w:keepNext/>
      <w:keepLines/>
      <w:numPr>
        <w:ilvl w:val="8"/>
        <w:numId w:val="1"/>
      </w:numPr>
      <w:outlineLvl w:val="8"/>
    </w:pPr>
    <w:rPr>
      <w:rFonts w:ascii="Arial" w:hAnsi="Arial"/>
      <w:b/>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nhideWhenUsed/>
    <w:qFormat/>
    <w:pPr>
      <w:spacing w:after="120"/>
      <w:ind w:leftChars="200" w:left="420"/>
    </w:pPr>
  </w:style>
  <w:style w:type="paragraph" w:styleId="30">
    <w:name w:val="toc 3"/>
    <w:basedOn w:val="a"/>
    <w:next w:val="a"/>
    <w:uiPriority w:val="39"/>
    <w:qFormat/>
    <w:pPr>
      <w:spacing w:line="240" w:lineRule="auto"/>
      <w:ind w:leftChars="400" w:left="400" w:firstLine="0"/>
    </w:pPr>
  </w:style>
  <w:style w:type="paragraph" w:styleId="a4">
    <w:name w:val="footer"/>
    <w:basedOn w:val="a"/>
    <w:link w:val="Char0"/>
    <w:unhideWhenUsed/>
    <w:qFormat/>
    <w:pPr>
      <w:tabs>
        <w:tab w:val="center" w:pos="4153"/>
        <w:tab w:val="right" w:pos="8306"/>
      </w:tabs>
      <w:snapToGrid w:val="0"/>
    </w:pPr>
    <w:rPr>
      <w:sz w:val="18"/>
      <w:szCs w:val="18"/>
    </w:rPr>
  </w:style>
  <w:style w:type="paragraph" w:styleId="a5">
    <w:name w:val="header"/>
    <w:basedOn w:val="a"/>
    <w:next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ind w:firstLine="0"/>
    </w:pPr>
    <w:rPr>
      <w:b/>
    </w:rPr>
  </w:style>
  <w:style w:type="paragraph" w:styleId="20">
    <w:name w:val="toc 2"/>
    <w:basedOn w:val="a"/>
    <w:next w:val="a"/>
    <w:uiPriority w:val="39"/>
    <w:qFormat/>
    <w:pPr>
      <w:ind w:leftChars="200" w:left="200" w:firstLine="0"/>
    </w:pPr>
  </w:style>
  <w:style w:type="paragraph" w:styleId="21">
    <w:name w:val="Body Text First Indent 2"/>
    <w:basedOn w:val="a3"/>
    <w:link w:val="2Char0"/>
    <w:qFormat/>
    <w:pPr>
      <w:widowControl w:val="0"/>
      <w:spacing w:after="0"/>
      <w:ind w:leftChars="0" w:left="0" w:firstLineChars="200" w:firstLine="200"/>
      <w:jc w:val="both"/>
    </w:pPr>
    <w:rPr>
      <w:rFonts w:cs="Times New Roman"/>
      <w:szCs w:val="24"/>
    </w:rPr>
  </w:style>
  <w:style w:type="character" w:customStyle="1" w:styleId="Char1">
    <w:name w:val="页眉 Char"/>
    <w:basedOn w:val="a0"/>
    <w:link w:val="a5"/>
    <w:uiPriority w:val="99"/>
    <w:qFormat/>
    <w:rPr>
      <w:sz w:val="18"/>
      <w:szCs w:val="18"/>
    </w:rPr>
  </w:style>
  <w:style w:type="character" w:customStyle="1" w:styleId="Char0">
    <w:name w:val="页脚 Char"/>
    <w:basedOn w:val="a0"/>
    <w:link w:val="a4"/>
    <w:qFormat/>
    <w:rPr>
      <w:sz w:val="18"/>
      <w:szCs w:val="18"/>
    </w:rPr>
  </w:style>
  <w:style w:type="character" w:customStyle="1" w:styleId="1Char">
    <w:name w:val="标题 1 Char"/>
    <w:basedOn w:val="a0"/>
    <w:link w:val="1"/>
    <w:qFormat/>
    <w:rPr>
      <w:rFonts w:ascii="Times New Roman" w:eastAsia="宋体" w:hAnsi="Times New Roman" w:cs="宋体"/>
      <w:b/>
      <w:bCs/>
      <w:kern w:val="2"/>
      <w:sz w:val="28"/>
      <w:szCs w:val="28"/>
    </w:rPr>
  </w:style>
  <w:style w:type="character" w:customStyle="1" w:styleId="2Char">
    <w:name w:val="标题 2 Char"/>
    <w:basedOn w:val="a0"/>
    <w:link w:val="2"/>
    <w:qFormat/>
    <w:rPr>
      <w:rFonts w:ascii="Times New Roman" w:eastAsia="宋体" w:hAnsi="Times New Roman" w:cs="宋体"/>
      <w:b/>
      <w:bCs/>
      <w:kern w:val="2"/>
      <w:sz w:val="24"/>
    </w:rPr>
  </w:style>
  <w:style w:type="character" w:customStyle="1" w:styleId="3Char">
    <w:name w:val="标题 3 Char"/>
    <w:basedOn w:val="a0"/>
    <w:link w:val="3"/>
    <w:qFormat/>
    <w:rPr>
      <w:rFonts w:ascii="Times New Roman" w:eastAsia="宋体" w:hAnsi="Times New Roman" w:cs="宋体"/>
      <w:b/>
      <w:bCs/>
      <w:kern w:val="2"/>
      <w:sz w:val="24"/>
      <w:szCs w:val="32"/>
    </w:rPr>
  </w:style>
  <w:style w:type="character" w:customStyle="1" w:styleId="4Char">
    <w:name w:val="标题 4 Char"/>
    <w:basedOn w:val="a0"/>
    <w:link w:val="4"/>
    <w:qFormat/>
    <w:rPr>
      <w:rFonts w:ascii="Arial" w:eastAsia="宋体" w:hAnsi="Arial" w:cs="宋体"/>
      <w:b/>
      <w:bCs/>
      <w:kern w:val="2"/>
      <w:sz w:val="24"/>
      <w:szCs w:val="28"/>
    </w:rPr>
  </w:style>
  <w:style w:type="character" w:customStyle="1" w:styleId="5Char">
    <w:name w:val="标题 5 Char"/>
    <w:basedOn w:val="a0"/>
    <w:link w:val="5"/>
    <w:qFormat/>
    <w:rPr>
      <w:rFonts w:ascii="Times New Roman" w:eastAsia="宋体" w:hAnsi="Times New Roman" w:cs="宋体"/>
      <w:b/>
      <w:bCs/>
      <w:kern w:val="2"/>
      <w:sz w:val="24"/>
      <w:szCs w:val="28"/>
    </w:rPr>
  </w:style>
  <w:style w:type="character" w:customStyle="1" w:styleId="6Char">
    <w:name w:val="标题 6 Char"/>
    <w:basedOn w:val="a0"/>
    <w:link w:val="6"/>
    <w:qFormat/>
    <w:rPr>
      <w:rFonts w:ascii="Arial" w:eastAsia="宋体" w:hAnsi="Arial" w:cs="宋体"/>
      <w:b/>
      <w:bCs/>
      <w:kern w:val="2"/>
      <w:sz w:val="24"/>
    </w:rPr>
  </w:style>
  <w:style w:type="character" w:customStyle="1" w:styleId="7Char">
    <w:name w:val="标题 7 Char"/>
    <w:basedOn w:val="a0"/>
    <w:link w:val="7"/>
    <w:qFormat/>
    <w:rPr>
      <w:rFonts w:ascii="Times New Roman" w:eastAsia="宋体" w:hAnsi="Times New Roman" w:cs="宋体"/>
      <w:b/>
      <w:bCs/>
      <w:kern w:val="2"/>
      <w:sz w:val="24"/>
    </w:rPr>
  </w:style>
  <w:style w:type="character" w:customStyle="1" w:styleId="8Char">
    <w:name w:val="标题 8 Char"/>
    <w:basedOn w:val="a0"/>
    <w:link w:val="8"/>
    <w:qFormat/>
    <w:rPr>
      <w:rFonts w:ascii="Arial" w:eastAsia="宋体" w:hAnsi="Arial" w:cs="宋体"/>
      <w:b/>
      <w:kern w:val="2"/>
      <w:sz w:val="24"/>
    </w:rPr>
  </w:style>
  <w:style w:type="character" w:customStyle="1" w:styleId="9Char">
    <w:name w:val="标题 9 Char"/>
    <w:basedOn w:val="a0"/>
    <w:link w:val="9"/>
    <w:qFormat/>
    <w:rPr>
      <w:rFonts w:ascii="Arial" w:eastAsia="宋体" w:hAnsi="Arial" w:cs="宋体"/>
      <w:b/>
      <w:kern w:val="2"/>
      <w:sz w:val="24"/>
      <w:szCs w:val="21"/>
    </w:rPr>
  </w:style>
  <w:style w:type="character" w:customStyle="1" w:styleId="Char">
    <w:name w:val="正文文本缩进 Char"/>
    <w:basedOn w:val="a0"/>
    <w:link w:val="a3"/>
    <w:qFormat/>
    <w:rPr>
      <w:rFonts w:ascii="Times New Roman" w:eastAsia="宋体" w:hAnsi="Times New Roman" w:cs="宋体"/>
      <w:sz w:val="24"/>
      <w:szCs w:val="20"/>
    </w:rPr>
  </w:style>
  <w:style w:type="character" w:customStyle="1" w:styleId="2Char0">
    <w:name w:val="正文首行缩进 2 Char"/>
    <w:basedOn w:val="Char"/>
    <w:link w:val="21"/>
    <w:qFormat/>
    <w:rPr>
      <w:rFonts w:ascii="Times New Roman" w:eastAsia="宋体" w:hAnsi="Times New Roman" w:cs="Times New Roman"/>
      <w:sz w:val="24"/>
      <w:szCs w:val="24"/>
    </w:rPr>
  </w:style>
  <w:style w:type="paragraph" w:styleId="a6">
    <w:name w:val="List Paragraph"/>
    <w:basedOn w:val="a"/>
    <w:next w:val="a"/>
    <w:uiPriority w:val="34"/>
    <w:qFormat/>
    <w:pPr>
      <w:ind w:firstLineChars="200" w:firstLine="200"/>
    </w:pPr>
  </w:style>
  <w:style w:type="character" w:customStyle="1" w:styleId="Char2">
    <w:name w:val="列出段落 Char"/>
    <w:link w:val="11"/>
    <w:qFormat/>
    <w:rPr>
      <w:rFonts w:ascii="Calibri" w:hAnsi="Calibri"/>
    </w:rPr>
  </w:style>
  <w:style w:type="paragraph" w:customStyle="1" w:styleId="11">
    <w:name w:val="列出段落1"/>
    <w:basedOn w:val="a"/>
    <w:link w:val="Char2"/>
    <w:qFormat/>
    <w:pPr>
      <w:widowControl w:val="0"/>
      <w:spacing w:line="240" w:lineRule="auto"/>
      <w:ind w:firstLineChars="200" w:firstLine="200"/>
      <w:jc w:val="both"/>
    </w:pPr>
    <w:rPr>
      <w:rFonts w:ascii="Calibri" w:eastAsiaTheme="minorEastAsia" w:hAnsi="Calibri" w:cstheme="minorBidi"/>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366</Words>
  <Characters>2090</Characters>
  <Application>Microsoft Office Word</Application>
  <DocSecurity>0</DocSecurity>
  <Lines>17</Lines>
  <Paragraphs>4</Paragraphs>
  <ScaleCrop>false</ScaleCrop>
  <Company>Organization</Company>
  <LinksUpToDate>false</LinksUpToDate>
  <CharactersWithSpaces>2452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谢丽芬</dc:creator>
  <cp:lastModifiedBy>liuze</cp:lastModifiedBy>
  <cp:revision>11</cp:revision>
  <dcterms:created xsi:type="dcterms:W3CDTF">2023-03-31T01:58:00Z</dcterms:created>
  <dcterms:modified xsi:type="dcterms:W3CDTF">2025-06-16T03:06:00Z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8C2C56CEE8814A479C8CBCE66188FC1F</vt:lpwstr>
  </property>
  <property fmtid="{D5CDD505-2E9C-101B-9397-08002B2CF9AE}" pid="4" name="KSOTemplateDocerSaveRecord">
    <vt:lpwstr>eyJoZGlkIjoiYjk5ODM0YmMxOWJiYWQyNDU4MGIzYWRmYTA0ZmI5NDcifQ==</vt:lpwstr>
  </property>
</Properties>
</file>