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武汉药品医疗器械检验所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网络安全等级保护测评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服务</w:t>
      </w:r>
      <w:bookmarkStart w:id="0" w:name="_GoBack"/>
      <w:bookmarkEnd w:id="0"/>
      <w:r>
        <w:rPr>
          <w:rFonts w:hint="eastAsia" w:ascii="方正小标宋简体" w:hAnsi="方正小标宋简体" w:eastAsia="方正小标宋简体"/>
          <w:sz w:val="44"/>
          <w:szCs w:val="44"/>
        </w:rPr>
        <w:t>采购需求</w:t>
      </w:r>
    </w:p>
    <w:p>
      <w:pPr>
        <w:spacing w:line="560" w:lineRule="exact"/>
        <w:rPr>
          <w:rFonts w:hint="eastAsia" w:ascii="方正小标宋简体" w:hAnsi="方正小标宋简体" w:eastAsia="方正小标宋简体"/>
          <w:sz w:val="44"/>
          <w:szCs w:val="44"/>
        </w:rPr>
      </w:pPr>
    </w:p>
    <w:p>
      <w:pPr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一、供应商资格要求</w:t>
      </w:r>
    </w:p>
    <w:p>
      <w:pPr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本项目的特定资格要求：</w:t>
      </w:r>
    </w:p>
    <w:p>
      <w:pPr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投标人须具有由公安部第三研究所颁发的《网络安全服务认证证书等级保护测评服务认证》。</w:t>
      </w:r>
    </w:p>
    <w:p>
      <w:pPr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二、采购需求</w:t>
      </w:r>
    </w:p>
    <w:p>
      <w:pPr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1、采购内容一览表</w:t>
      </w:r>
    </w:p>
    <w:tbl>
      <w:tblPr>
        <w:tblStyle w:val="18"/>
        <w:tblW w:w="85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4451"/>
        <w:gridCol w:w="31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黑体" w:hAnsi="黑体" w:eastAsia="黑体" w:cs="宋体"/>
                <w:sz w:val="28"/>
                <w:szCs w:val="28"/>
                <w14:ligatures w14:val="none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  <w14:ligatures w14:val="none"/>
              </w:rPr>
              <w:t>序号</w:t>
            </w:r>
          </w:p>
        </w:tc>
        <w:tc>
          <w:tcPr>
            <w:tcW w:w="4451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黑体" w:hAnsi="黑体" w:eastAsia="黑体" w:cs="宋体"/>
                <w:sz w:val="28"/>
                <w:szCs w:val="28"/>
                <w14:ligatures w14:val="none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  <w14:ligatures w14:val="none"/>
              </w:rPr>
              <w:t>系统名称</w:t>
            </w:r>
          </w:p>
        </w:tc>
        <w:tc>
          <w:tcPr>
            <w:tcW w:w="3122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黑体" w:hAnsi="黑体" w:eastAsia="黑体" w:cs="宋体"/>
                <w:sz w:val="28"/>
                <w:szCs w:val="28"/>
                <w14:ligatures w14:val="none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  <w14:ligatures w14:val="none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outlineLvl w:val="1"/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4451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outlineLvl w:val="1"/>
              <w:rPr>
                <w:rFonts w:hint="eastAsia" w:ascii="仿宋_GB2312" w:hAnsi="宋体" w:eastAsia="仿宋_GB2312" w:cs="宋体"/>
                <w:color w:val="FF0000"/>
                <w:sz w:val="28"/>
                <w:szCs w:val="28"/>
                <w14:ligatures w14:val="none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  <w:t>OA办公系统</w:t>
            </w:r>
          </w:p>
        </w:tc>
        <w:tc>
          <w:tcPr>
            <w:tcW w:w="3122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outlineLvl w:val="1"/>
              <w:rPr>
                <w:rFonts w:hint="eastAsia" w:ascii="仿宋_GB2312" w:hAnsi="宋体" w:eastAsia="仿宋_GB2312" w:cs="宋体"/>
                <w:color w:val="FF0000"/>
                <w:sz w:val="28"/>
                <w:szCs w:val="28"/>
                <w14:ligatures w14:val="none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  <w:t>网络安全等级保护测评（第二级）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1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outlineLvl w:val="1"/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4451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outlineLvl w:val="1"/>
              <w:rPr>
                <w:rFonts w:hint="eastAsia" w:ascii="仿宋_GB2312" w:hAnsi="宋体" w:eastAsia="仿宋_GB2312" w:cs="宋体"/>
                <w:color w:val="FF0000"/>
                <w:sz w:val="28"/>
                <w:szCs w:val="28"/>
                <w14:ligatures w14:val="none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  <w:t>食用农产品质量安全监管信息系统</w:t>
            </w:r>
          </w:p>
        </w:tc>
        <w:tc>
          <w:tcPr>
            <w:tcW w:w="3122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outlineLvl w:val="1"/>
              <w:rPr>
                <w:rFonts w:hint="eastAsia" w:ascii="仿宋_GB2312" w:hAnsi="宋体" w:eastAsia="仿宋_GB2312" w:cs="宋体"/>
                <w:color w:val="FF0000"/>
                <w:sz w:val="28"/>
                <w:szCs w:val="28"/>
                <w14:ligatures w14:val="none"/>
              </w:rPr>
            </w:pPr>
            <w:r>
              <w:rPr>
                <w:rFonts w:hint="eastAsia" w:ascii="仿宋_GB2312" w:hAnsi="宋体" w:eastAsia="仿宋_GB2312" w:cs="宋体"/>
                <w:sz w:val="28"/>
                <w:szCs w:val="28"/>
                <w14:ligatures w14:val="none"/>
              </w:rPr>
              <w:t>网络安全等级保护测评（第二级）</w:t>
            </w:r>
          </w:p>
        </w:tc>
      </w:tr>
    </w:tbl>
    <w:p>
      <w:pPr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2、网络安全等级保护测评</w:t>
      </w:r>
    </w:p>
    <w:p>
      <w:pPr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采购服务内容如下：</w:t>
      </w:r>
    </w:p>
    <w:tbl>
      <w:tblPr>
        <w:tblStyle w:val="17"/>
        <w:tblW w:w="8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72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序号</w:t>
            </w:r>
          </w:p>
        </w:tc>
        <w:tc>
          <w:tcPr>
            <w:tcW w:w="726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8"/>
                <w:szCs w:val="28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1</w:t>
            </w:r>
          </w:p>
        </w:tc>
        <w:tc>
          <w:tcPr>
            <w:tcW w:w="726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定级备案服务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2</w:t>
            </w:r>
          </w:p>
        </w:tc>
        <w:tc>
          <w:tcPr>
            <w:tcW w:w="726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差距分析服务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3</w:t>
            </w:r>
          </w:p>
        </w:tc>
        <w:tc>
          <w:tcPr>
            <w:tcW w:w="726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网络安全等级保护测评服务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4</w:t>
            </w:r>
          </w:p>
        </w:tc>
        <w:tc>
          <w:tcPr>
            <w:tcW w:w="7263" w:type="dxa"/>
            <w:vAlign w:val="center"/>
          </w:tcPr>
          <w:p>
            <w:pPr>
              <w:keepNext/>
              <w:keepLines/>
              <w:numPr>
                <w:ilvl w:val="1"/>
                <w:numId w:val="0"/>
              </w:numPr>
              <w:spacing w:before="120" w:line="360" w:lineRule="auto"/>
              <w:jc w:val="center"/>
              <w:outlineLvl w:val="1"/>
              <w:rPr>
                <w:rFonts w:hint="eastAsia" w:ascii="仿宋_GB2312" w:hAnsi="黑体" w:eastAsia="仿宋_GB2312" w:cs="宋体"/>
                <w:sz w:val="28"/>
                <w:szCs w:val="28"/>
              </w:rPr>
            </w:pPr>
            <w:r>
              <w:rPr>
                <w:rFonts w:hint="eastAsia" w:ascii="仿宋_GB2312" w:hAnsi="黑体" w:eastAsia="仿宋_GB2312" w:cs="宋体"/>
                <w:sz w:val="28"/>
                <w:szCs w:val="28"/>
              </w:rPr>
              <w:t>整改咨询服务</w:t>
            </w:r>
          </w:p>
        </w:tc>
      </w:tr>
    </w:tbl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按照《信息安全技术 网络安全等级保护基本要求》（GB/T 22239-2019）、《信息安全技术 网络安全等级保护测评要求》（GB/T 28448-2019）、《信息安全技术 网络安全等级保护定级指南》（GB/T 22240-2020）和有关规定及要求，协助采购方进行系统定级、备案工作。完成对系统的安全等级保护测评工作，指导采购方对系统测评中提出的不符合项进行整改，提出安全整改建议，编制整改方案。最终出具符合要求的安全等级保护测评报告，协助采购方取得公安机关颁发的备案证明。</w:t>
      </w:r>
    </w:p>
    <w:p>
      <w:pPr>
        <w:wordWrap w:val="0"/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三、工作实施要求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1、人员要求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参与项目的测试人员不少于5人，参与测试服务人员需具备初级（含）以上测评师证书或注册网络安全渗透评估专业人员NSATP-A；参与测评服务项目经理需具备中级（含）以上测评师或信息安全工程师（高级）等相关的网络安全人员证书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2、工具要求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本项目实施和验收测试所需的工具，由供应商负责提供。用于测评的工具主要包括服务器安全测评工具、网络设备安全测评工具、终端计算机安全测评工具、网站等应用系统安全测评工具等。在使用前，应对工具进行测评，如果需要则对工具进行软件或代码升级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3、保密要求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（1）供应商必须和采购人签订保密协议，供应商必须要与参加此次项目的所有项目组成员签订保密协议，在合同签订时一并提供给采购人。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（2）供应商应保守在测评活动中知悉的国家秘密、商业秘密和个人隐私，防范测评风险。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（3）供应商应对测评人员进行安全保密教育，与其签订安全保密责任书，规定应当履行的安全保密义务和承担的法律责任，并负责检查落实。</w:t>
      </w:r>
    </w:p>
    <w:p>
      <w:pPr>
        <w:wordWrap w:val="0"/>
        <w:spacing w:line="56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四、其他商务要求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1、采购预算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本项目采购预算为10万元, 供应商报价须低于该价格。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2、验收要求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（1）中标人和采购人双方依据项目内容和进度共同实施验收工作，验收结果和验收报告经双方确认后生效。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（2）中标人必须提交《网络安全等级保护测评报告》，中标人协助采购人办理定级备案手续，并取得备案证书。该项目过程中产生的文档，归采购人所有。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3、付款要求</w:t>
      </w:r>
    </w:p>
    <w:p>
      <w:pPr>
        <w:wordWrap w:val="0"/>
        <w:spacing w:line="560" w:lineRule="exact"/>
        <w:ind w:firstLine="640" w:firstLineChars="200"/>
        <w:jc w:val="left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在合同中约定。</w:t>
      </w:r>
    </w:p>
    <w:p>
      <w:pPr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4、售后服务要求</w:t>
      </w:r>
    </w:p>
    <w:p>
      <w:pPr>
        <w:wordWrap w:val="0"/>
        <w:spacing w:line="560" w:lineRule="exact"/>
        <w:ind w:firstLine="640" w:firstLineChars="200"/>
        <w:rPr>
          <w:rFonts w:hint="eastAsia" w:ascii="仿宋_GB2312" w:hAnsi="方正小标宋简体" w:eastAsia="仿宋_GB2312"/>
          <w:sz w:val="32"/>
          <w:szCs w:val="32"/>
        </w:rPr>
      </w:pPr>
      <w:r>
        <w:rPr>
          <w:rFonts w:hint="eastAsia" w:ascii="仿宋_GB2312" w:hAnsi="方正小标宋简体" w:eastAsia="仿宋_GB2312"/>
          <w:sz w:val="32"/>
          <w:szCs w:val="32"/>
        </w:rPr>
        <w:t>投标人承诺提供1年咨询服务，服务方式包括电话技术支持、远程技术支持、现场技术支持等。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CD"/>
    <w:rsid w:val="000330D8"/>
    <w:rsid w:val="000753D5"/>
    <w:rsid w:val="000B30BF"/>
    <w:rsid w:val="00144121"/>
    <w:rsid w:val="00160180"/>
    <w:rsid w:val="001F1AAF"/>
    <w:rsid w:val="002700C4"/>
    <w:rsid w:val="00292E4C"/>
    <w:rsid w:val="002B0B78"/>
    <w:rsid w:val="002F2B88"/>
    <w:rsid w:val="00335103"/>
    <w:rsid w:val="00383F00"/>
    <w:rsid w:val="0043084D"/>
    <w:rsid w:val="0055564F"/>
    <w:rsid w:val="00651852"/>
    <w:rsid w:val="006F2DBC"/>
    <w:rsid w:val="007E742E"/>
    <w:rsid w:val="00811551"/>
    <w:rsid w:val="008361FE"/>
    <w:rsid w:val="00907201"/>
    <w:rsid w:val="00992454"/>
    <w:rsid w:val="009D0639"/>
    <w:rsid w:val="00A30AD1"/>
    <w:rsid w:val="00A81F58"/>
    <w:rsid w:val="00A86185"/>
    <w:rsid w:val="00AD38F5"/>
    <w:rsid w:val="00AF5442"/>
    <w:rsid w:val="00B576B6"/>
    <w:rsid w:val="00C10204"/>
    <w:rsid w:val="00CE32AC"/>
    <w:rsid w:val="00D803C3"/>
    <w:rsid w:val="00D8239E"/>
    <w:rsid w:val="00DA79CD"/>
    <w:rsid w:val="00DF3853"/>
    <w:rsid w:val="00E004F1"/>
    <w:rsid w:val="00E107CE"/>
    <w:rsid w:val="00E64F86"/>
    <w:rsid w:val="00EA7894"/>
    <w:rsid w:val="00EB7FFD"/>
    <w:rsid w:val="00F935CA"/>
    <w:rsid w:val="00FD4E28"/>
    <w:rsid w:val="19D154E8"/>
    <w:rsid w:val="4C471164"/>
    <w:rsid w:val="56E64C9A"/>
    <w:rsid w:val="5B765A2F"/>
    <w:rsid w:val="6DD2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8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7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8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adjustRightInd w:val="0"/>
      <w:snapToGrid w:val="0"/>
      <w:spacing w:after="160" w:line="360" w:lineRule="auto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styleId="12">
    <w:name w:val="Body Text"/>
    <w:basedOn w:val="1"/>
    <w:next w:val="1"/>
    <w:link w:val="38"/>
    <w:qFormat/>
    <w:uiPriority w:val="0"/>
    <w:pPr>
      <w:keepLines/>
      <w:spacing w:before="120" w:after="120" w:line="360" w:lineRule="auto"/>
      <w:ind w:firstLine="200" w:firstLineChars="200"/>
    </w:pPr>
    <w:rPr>
      <w:rFonts w:ascii="Calibri" w:hAnsi="Calibri" w:eastAsia="宋体" w:cs="Times New Roman"/>
      <w:sz w:val="24"/>
      <w:szCs w:val="24"/>
      <w14:ligatures w14:val="none"/>
    </w:rPr>
  </w:style>
  <w:style w:type="paragraph" w:styleId="13">
    <w:name w:val="footer"/>
    <w:basedOn w:val="1"/>
    <w:link w:val="4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0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9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8">
    <w:name w:val="Table Grid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标题 1 字符"/>
    <w:basedOn w:val="19"/>
    <w:link w:val="3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1">
    <w:name w:val="标题 2 字符"/>
    <w:basedOn w:val="19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标题 3 字符"/>
    <w:basedOn w:val="19"/>
    <w:link w:val="5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9"/>
    <w:link w:val="6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9"/>
    <w:link w:val="7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5">
    <w:name w:val="标题 6 字符"/>
    <w:basedOn w:val="19"/>
    <w:link w:val="8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9"/>
    <w:link w:val="9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9"/>
    <w:link w:val="10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9"/>
    <w:link w:val="11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9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9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9"/>
    <w:link w:val="31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明显强调1"/>
    <w:basedOn w:val="19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明显引用 字符"/>
    <w:basedOn w:val="19"/>
    <w:link w:val="35"/>
    <w:uiPriority w:val="30"/>
    <w:rPr>
      <w:i/>
      <w:iCs/>
      <w:color w:val="104862" w:themeColor="accent1" w:themeShade="BF"/>
    </w:rPr>
  </w:style>
  <w:style w:type="character" w:customStyle="1" w:styleId="37">
    <w:name w:val="明显参考1"/>
    <w:basedOn w:val="19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正文文本 字符"/>
    <w:basedOn w:val="19"/>
    <w:link w:val="12"/>
    <w:uiPriority w:val="0"/>
    <w:rPr>
      <w:rFonts w:ascii="Calibri" w:hAnsi="Calibri" w:eastAsia="宋体" w:cs="Times New Roman"/>
      <w:sz w:val="24"/>
      <w:szCs w:val="24"/>
      <w14:ligatures w14:val="none"/>
    </w:rPr>
  </w:style>
  <w:style w:type="character" w:customStyle="1" w:styleId="39">
    <w:name w:val="页眉 字符"/>
    <w:basedOn w:val="19"/>
    <w:link w:val="14"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557</Words>
  <Characters>608</Characters>
  <Lines>32</Lines>
  <Paragraphs>33</Paragraphs>
  <TotalTime>1</TotalTime>
  <ScaleCrop>false</ScaleCrop>
  <LinksUpToDate>false</LinksUpToDate>
  <CharactersWithSpaces>1132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2025-09-23T06:25:00Z</dcterms:created>
  <dc:creator>easycola lee</dc:creator>
  <cp:lastModifiedBy>王颖峰</cp:lastModifiedBy>
  <dcterms:modified xsi:type="dcterms:W3CDTF">2025-09-28T02:55:04Z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