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简体" w:hAnsi="方正小标宋简体" w:eastAsia="方正小标宋简体" w:cs="方正小标宋简体"/>
          <w:sz w:val="40"/>
          <w:szCs w:val="40"/>
        </w:rPr>
      </w:pPr>
      <w:r>
        <w:rPr>
          <w:rFonts w:hint="eastAsia" w:ascii="方正小标宋简体" w:hAnsi="方正小标宋简体" w:eastAsia="方正小标宋简体" w:cs="方正小标宋简体"/>
          <w:sz w:val="40"/>
          <w:szCs w:val="40"/>
        </w:rPr>
        <w:t>武汉市成品油综合智慧监管平台等保及密评服务采购需求</w:t>
      </w:r>
    </w:p>
    <w:p>
      <w:pPr>
        <w:pStyle w:val="2"/>
        <w:spacing w:line="360" w:lineRule="auto"/>
        <w:rPr>
          <w:rFonts w:hint="eastAsia" w:ascii="仿宋" w:hAnsi="仿宋" w:eastAsia="仿宋" w:cs="仿宋"/>
          <w:bCs w:val="0"/>
          <w:sz w:val="32"/>
        </w:rPr>
      </w:pPr>
      <w:r>
        <w:rPr>
          <w:rFonts w:hint="eastAsia" w:ascii="仿宋" w:hAnsi="仿宋" w:eastAsia="仿宋" w:cs="仿宋"/>
          <w:bCs w:val="0"/>
          <w:sz w:val="32"/>
        </w:rPr>
        <w:t>一、资格要求</w:t>
      </w:r>
      <w:r>
        <w:rPr>
          <w:rFonts w:hint="eastAsia" w:ascii="仿宋" w:hAnsi="仿宋" w:eastAsia="仿宋" w:cs="仿宋"/>
          <w:bCs w:val="0"/>
          <w:sz w:val="32"/>
        </w:rPr>
        <w:tab/>
      </w:r>
    </w:p>
    <w:p>
      <w:pPr>
        <w:spacing w:line="360" w:lineRule="auto"/>
        <w:ind w:firstLine="360" w:firstLineChars="150"/>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1、供应商应具备《政府采购法》第二十二条规定的相关条件；</w:t>
      </w:r>
    </w:p>
    <w:p>
      <w:pPr>
        <w:spacing w:line="360" w:lineRule="auto"/>
        <w:ind w:firstLine="360" w:firstLineChars="150"/>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2、投标人须具备由公安部第三研究所认证发放的有效《网络安全服务认证证书等级保护测评服务认证》。（提供证书复印件加盖公章）；</w:t>
      </w:r>
    </w:p>
    <w:p>
      <w:pPr>
        <w:spacing w:line="360" w:lineRule="auto"/>
        <w:ind w:firstLine="360" w:firstLineChars="150"/>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3、供应商需具有国家密码局颁发的《商用密码检测机构资质证书》；</w:t>
      </w:r>
    </w:p>
    <w:p>
      <w:pPr>
        <w:spacing w:line="360" w:lineRule="auto"/>
        <w:ind w:firstLine="360" w:firstLineChars="150"/>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4、供应商参加政府采购活动前三年内未被“信用中国”网站(www.creditchina.gov.cn)列入失信被执行人、重大税收违法案件当事人、政府采购严重违法失信行为记录名单和未被“中国政府采购”网站（www.ccgp.gov.cn）列入政府采购严重违法失信行为记录名单；</w:t>
      </w:r>
    </w:p>
    <w:p>
      <w:pPr>
        <w:spacing w:line="360" w:lineRule="auto"/>
        <w:ind w:firstLine="360" w:firstLineChars="150"/>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5、本项目不接受联合体形式参与报价。</w:t>
      </w:r>
    </w:p>
    <w:p>
      <w:pPr>
        <w:pStyle w:val="2"/>
        <w:spacing w:line="360" w:lineRule="auto"/>
        <w:rPr>
          <w:rFonts w:hint="eastAsia" w:ascii="仿宋" w:hAnsi="仿宋" w:eastAsia="仿宋" w:cs="仿宋"/>
          <w:bCs w:val="0"/>
          <w:sz w:val="32"/>
        </w:rPr>
      </w:pPr>
      <w:bookmarkStart w:id="0" w:name="_Toc358372990"/>
      <w:bookmarkStart w:id="1" w:name="_Toc375126147"/>
      <w:r>
        <w:rPr>
          <w:rFonts w:hint="eastAsia" w:ascii="仿宋" w:hAnsi="仿宋" w:eastAsia="仿宋" w:cs="仿宋"/>
          <w:bCs w:val="0"/>
          <w:sz w:val="32"/>
        </w:rPr>
        <w:t>二、项目概况</w:t>
      </w:r>
      <w:bookmarkEnd w:id="0"/>
      <w:bookmarkEnd w:id="1"/>
    </w:p>
    <w:p>
      <w:pPr>
        <w:widowControl/>
        <w:spacing w:line="360" w:lineRule="auto"/>
        <w:ind w:firstLine="480" w:firstLineChars="200"/>
        <w:jc w:val="left"/>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1、项目名称：武汉市成品油综合智慧监管平台等保及密评服务项目。</w:t>
      </w:r>
    </w:p>
    <w:tbl>
      <w:tblPr>
        <w:tblStyle w:val="11"/>
        <w:tblW w:w="7531" w:type="dxa"/>
        <w:jc w:val="center"/>
        <w:tblLayout w:type="fixed"/>
        <w:tblCellMar>
          <w:top w:w="0" w:type="dxa"/>
          <w:left w:w="108" w:type="dxa"/>
          <w:bottom w:w="0" w:type="dxa"/>
          <w:right w:w="108" w:type="dxa"/>
        </w:tblCellMar>
      </w:tblPr>
      <w:tblGrid>
        <w:gridCol w:w="762"/>
        <w:gridCol w:w="2253"/>
        <w:gridCol w:w="2260"/>
        <w:gridCol w:w="1128"/>
        <w:gridCol w:w="1128"/>
      </w:tblGrid>
      <w:tr>
        <w:tblPrEx>
          <w:tblCellMar>
            <w:top w:w="0" w:type="dxa"/>
            <w:left w:w="108" w:type="dxa"/>
            <w:bottom w:w="0" w:type="dxa"/>
            <w:right w:w="108" w:type="dxa"/>
          </w:tblCellMar>
        </w:tblPrEx>
        <w:trPr>
          <w:trHeight w:val="770" w:hRule="atLeast"/>
          <w:jc w:val="center"/>
        </w:trPr>
        <w:tc>
          <w:tcPr>
            <w:tcW w:w="76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spacing w:line="360" w:lineRule="auto"/>
              <w:ind w:left="-57" w:leftChars="-27" w:right="-78" w:rightChars="-37"/>
              <w:jc w:val="center"/>
              <w:rPr>
                <w:rFonts w:hint="eastAsia" w:ascii="仿宋" w:hAnsi="仿宋" w:eastAsia="仿宋" w:cs="仿宋"/>
                <w:b/>
                <w:sz w:val="24"/>
                <w:szCs w:val="24"/>
              </w:rPr>
            </w:pPr>
            <w:r>
              <w:rPr>
                <w:rFonts w:hint="eastAsia" w:ascii="仿宋" w:hAnsi="仿宋" w:eastAsia="仿宋" w:cs="仿宋"/>
                <w:sz w:val="24"/>
                <w:szCs w:val="24"/>
              </w:rPr>
              <w:t xml:space="preserve"> </w:t>
            </w:r>
            <w:r>
              <w:rPr>
                <w:rFonts w:hint="eastAsia" w:ascii="仿宋" w:hAnsi="仿宋" w:eastAsia="仿宋" w:cs="仿宋"/>
                <w:b/>
                <w:sz w:val="24"/>
                <w:szCs w:val="24"/>
              </w:rPr>
              <w:t>序号</w:t>
            </w:r>
          </w:p>
        </w:tc>
        <w:tc>
          <w:tcPr>
            <w:tcW w:w="2253" w:type="dxa"/>
            <w:tcBorders>
              <w:top w:val="single" w:color="auto" w:sz="4" w:space="0"/>
              <w:left w:val="nil"/>
              <w:bottom w:val="single" w:color="auto" w:sz="4" w:space="0"/>
              <w:right w:val="single" w:color="auto" w:sz="4" w:space="0"/>
            </w:tcBorders>
            <w:shd w:val="clear" w:color="auto" w:fill="BEBEBE" w:themeFill="background1" w:themeFillShade="BF"/>
            <w:vAlign w:val="center"/>
          </w:tcPr>
          <w:p>
            <w:pPr>
              <w:spacing w:line="360" w:lineRule="auto"/>
              <w:ind w:left="-57" w:leftChars="-27" w:right="-78" w:rightChars="-37"/>
              <w:jc w:val="center"/>
              <w:rPr>
                <w:rFonts w:hint="eastAsia" w:ascii="仿宋" w:hAnsi="仿宋" w:eastAsia="仿宋" w:cs="仿宋"/>
                <w:b/>
                <w:sz w:val="24"/>
                <w:szCs w:val="24"/>
              </w:rPr>
            </w:pPr>
            <w:r>
              <w:rPr>
                <w:rFonts w:hint="eastAsia" w:ascii="仿宋" w:hAnsi="仿宋" w:eastAsia="仿宋" w:cs="仿宋"/>
                <w:b/>
                <w:sz w:val="24"/>
                <w:szCs w:val="24"/>
              </w:rPr>
              <w:t>服务类别</w:t>
            </w:r>
          </w:p>
        </w:tc>
        <w:tc>
          <w:tcPr>
            <w:tcW w:w="2260" w:type="dxa"/>
            <w:tcBorders>
              <w:top w:val="single" w:color="auto" w:sz="4" w:space="0"/>
              <w:left w:val="nil"/>
              <w:bottom w:val="single" w:color="auto" w:sz="4" w:space="0"/>
              <w:right w:val="single" w:color="auto" w:sz="4" w:space="0"/>
            </w:tcBorders>
            <w:shd w:val="clear" w:color="auto" w:fill="BEBEBE" w:themeFill="background1" w:themeFillShade="BF"/>
            <w:vAlign w:val="center"/>
          </w:tcPr>
          <w:p>
            <w:pPr>
              <w:spacing w:line="360" w:lineRule="auto"/>
              <w:ind w:left="-57" w:leftChars="-27" w:right="-78" w:rightChars="-37"/>
              <w:jc w:val="center"/>
              <w:rPr>
                <w:rFonts w:hint="eastAsia" w:ascii="仿宋" w:hAnsi="仿宋" w:eastAsia="仿宋" w:cs="仿宋"/>
                <w:b/>
                <w:sz w:val="24"/>
                <w:szCs w:val="24"/>
              </w:rPr>
            </w:pPr>
            <w:r>
              <w:rPr>
                <w:rFonts w:hint="eastAsia" w:ascii="仿宋" w:hAnsi="仿宋" w:eastAsia="仿宋" w:cs="仿宋"/>
                <w:b/>
                <w:sz w:val="24"/>
                <w:szCs w:val="24"/>
              </w:rPr>
              <w:t>系统名称</w:t>
            </w:r>
          </w:p>
        </w:tc>
        <w:tc>
          <w:tcPr>
            <w:tcW w:w="1128" w:type="dxa"/>
            <w:tcBorders>
              <w:top w:val="single" w:color="auto" w:sz="4" w:space="0"/>
              <w:left w:val="nil"/>
              <w:bottom w:val="single" w:color="auto" w:sz="4" w:space="0"/>
              <w:right w:val="single" w:color="auto" w:sz="4" w:space="0"/>
            </w:tcBorders>
            <w:shd w:val="clear" w:color="auto" w:fill="BEBEBE" w:themeFill="background1" w:themeFillShade="BF"/>
            <w:vAlign w:val="center"/>
          </w:tcPr>
          <w:p>
            <w:pPr>
              <w:spacing w:line="360" w:lineRule="auto"/>
              <w:ind w:left="-57" w:leftChars="-27" w:right="-78" w:rightChars="-37"/>
              <w:jc w:val="center"/>
              <w:rPr>
                <w:rFonts w:hint="eastAsia" w:ascii="仿宋" w:hAnsi="仿宋" w:eastAsia="仿宋" w:cs="仿宋"/>
                <w:b/>
                <w:sz w:val="24"/>
                <w:szCs w:val="24"/>
              </w:rPr>
            </w:pPr>
            <w:r>
              <w:rPr>
                <w:rFonts w:hint="eastAsia" w:ascii="仿宋" w:hAnsi="仿宋" w:eastAsia="仿宋" w:cs="仿宋"/>
                <w:b/>
                <w:sz w:val="24"/>
                <w:szCs w:val="24"/>
              </w:rPr>
              <w:t>级别</w:t>
            </w:r>
          </w:p>
        </w:tc>
        <w:tc>
          <w:tcPr>
            <w:tcW w:w="1128" w:type="dxa"/>
            <w:tcBorders>
              <w:top w:val="single" w:color="auto" w:sz="4" w:space="0"/>
              <w:left w:val="nil"/>
              <w:bottom w:val="single" w:color="auto" w:sz="4" w:space="0"/>
              <w:right w:val="single" w:color="auto" w:sz="4" w:space="0"/>
            </w:tcBorders>
            <w:shd w:val="clear" w:color="auto" w:fill="BEBEBE" w:themeFill="background1" w:themeFillShade="BF"/>
            <w:vAlign w:val="center"/>
          </w:tcPr>
          <w:p>
            <w:pPr>
              <w:spacing w:line="360" w:lineRule="auto"/>
              <w:ind w:left="-57" w:leftChars="-27" w:right="-78" w:rightChars="-37"/>
              <w:jc w:val="center"/>
              <w:rPr>
                <w:rFonts w:hint="eastAsia" w:ascii="仿宋" w:hAnsi="仿宋" w:eastAsia="仿宋" w:cs="仿宋"/>
                <w:b/>
                <w:sz w:val="24"/>
                <w:szCs w:val="24"/>
              </w:rPr>
            </w:pPr>
            <w:r>
              <w:rPr>
                <w:rFonts w:hint="eastAsia" w:ascii="仿宋" w:hAnsi="仿宋" w:eastAsia="仿宋" w:cs="仿宋"/>
                <w:b/>
                <w:sz w:val="24"/>
                <w:szCs w:val="24"/>
              </w:rPr>
              <w:t>数量</w:t>
            </w:r>
          </w:p>
        </w:tc>
      </w:tr>
      <w:tr>
        <w:tblPrEx>
          <w:tblCellMar>
            <w:top w:w="0" w:type="dxa"/>
            <w:left w:w="108" w:type="dxa"/>
            <w:bottom w:w="0" w:type="dxa"/>
            <w:right w:w="108" w:type="dxa"/>
          </w:tblCellMar>
        </w:tblPrEx>
        <w:trPr>
          <w:trHeight w:val="547" w:hRule="atLeast"/>
          <w:jc w:val="center"/>
        </w:trPr>
        <w:tc>
          <w:tcPr>
            <w:tcW w:w="762" w:type="dxa"/>
            <w:tcBorders>
              <w:top w:val="nil"/>
              <w:left w:val="single" w:color="auto" w:sz="4" w:space="0"/>
              <w:bottom w:val="single" w:color="auto" w:sz="4" w:space="0"/>
              <w:right w:val="single" w:color="auto" w:sz="4" w:space="0"/>
            </w:tcBorders>
            <w:vAlign w:val="center"/>
          </w:tcPr>
          <w:p>
            <w:pPr>
              <w:widowControl/>
              <w:numPr>
                <w:ilvl w:val="0"/>
                <w:numId w:val="1"/>
              </w:numPr>
              <w:tabs>
                <w:tab w:val="left" w:pos="33"/>
              </w:tabs>
              <w:spacing w:after="200" w:line="360" w:lineRule="auto"/>
              <w:ind w:left="-93" w:right="-48" w:rightChars="-23" w:hanging="3"/>
              <w:jc w:val="center"/>
              <w:rPr>
                <w:rFonts w:hint="eastAsia" w:ascii="仿宋" w:hAnsi="仿宋" w:eastAsia="仿宋" w:cs="仿宋"/>
                <w:sz w:val="24"/>
                <w:szCs w:val="24"/>
              </w:rPr>
            </w:pPr>
          </w:p>
        </w:tc>
        <w:tc>
          <w:tcPr>
            <w:tcW w:w="2253" w:type="dxa"/>
            <w:tcBorders>
              <w:top w:val="single" w:color="auto" w:sz="4" w:space="0"/>
              <w:left w:val="single" w:color="auto" w:sz="4" w:space="0"/>
              <w:right w:val="single" w:color="auto" w:sz="4" w:space="0"/>
            </w:tcBorders>
            <w:vAlign w:val="center"/>
          </w:tcPr>
          <w:p>
            <w:pPr>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网络安全等级保护测评</w:t>
            </w:r>
          </w:p>
        </w:tc>
        <w:tc>
          <w:tcPr>
            <w:tcW w:w="2260"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武汉市成品油综合智慧监管平台</w:t>
            </w:r>
          </w:p>
        </w:tc>
        <w:tc>
          <w:tcPr>
            <w:tcW w:w="112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三级</w:t>
            </w:r>
          </w:p>
        </w:tc>
        <w:tc>
          <w:tcPr>
            <w:tcW w:w="112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1</w:t>
            </w:r>
          </w:p>
        </w:tc>
      </w:tr>
      <w:tr>
        <w:tblPrEx>
          <w:tblCellMar>
            <w:top w:w="0" w:type="dxa"/>
            <w:left w:w="108" w:type="dxa"/>
            <w:bottom w:w="0" w:type="dxa"/>
            <w:right w:w="108" w:type="dxa"/>
          </w:tblCellMar>
        </w:tblPrEx>
        <w:trPr>
          <w:trHeight w:val="547" w:hRule="atLeast"/>
          <w:jc w:val="center"/>
        </w:trPr>
        <w:tc>
          <w:tcPr>
            <w:tcW w:w="762" w:type="dxa"/>
            <w:tcBorders>
              <w:top w:val="nil"/>
              <w:left w:val="single" w:color="auto" w:sz="4" w:space="0"/>
              <w:bottom w:val="nil"/>
              <w:right w:val="single" w:color="auto" w:sz="4" w:space="0"/>
            </w:tcBorders>
            <w:vAlign w:val="center"/>
          </w:tcPr>
          <w:p>
            <w:pPr>
              <w:widowControl/>
              <w:numPr>
                <w:ilvl w:val="0"/>
                <w:numId w:val="1"/>
              </w:numPr>
              <w:tabs>
                <w:tab w:val="left" w:pos="33"/>
              </w:tabs>
              <w:spacing w:after="200" w:line="360" w:lineRule="auto"/>
              <w:ind w:left="-93" w:right="-48" w:rightChars="-23" w:hanging="3"/>
              <w:jc w:val="center"/>
              <w:rPr>
                <w:rFonts w:hint="eastAsia" w:ascii="仿宋" w:hAnsi="仿宋" w:eastAsia="仿宋" w:cs="仿宋"/>
                <w:sz w:val="24"/>
                <w:szCs w:val="24"/>
              </w:rPr>
            </w:pPr>
          </w:p>
        </w:tc>
        <w:tc>
          <w:tcPr>
            <w:tcW w:w="2253" w:type="dxa"/>
            <w:tcBorders>
              <w:top w:val="single" w:color="auto" w:sz="4" w:space="0"/>
              <w:left w:val="single" w:color="auto" w:sz="4" w:space="0"/>
              <w:right w:val="single" w:color="auto" w:sz="4" w:space="0"/>
            </w:tcBorders>
            <w:vAlign w:val="center"/>
          </w:tcPr>
          <w:p>
            <w:pPr>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商用密码应用安全性评估</w:t>
            </w:r>
          </w:p>
        </w:tc>
        <w:tc>
          <w:tcPr>
            <w:tcW w:w="2260"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hint="eastAsia" w:ascii="仿宋" w:hAnsi="仿宋" w:eastAsia="仿宋" w:cs="仿宋"/>
                <w:sz w:val="24"/>
                <w:szCs w:val="24"/>
              </w:rPr>
            </w:pPr>
            <w:r>
              <w:rPr>
                <w:rFonts w:hint="eastAsia" w:ascii="仿宋" w:hAnsi="仿宋" w:eastAsia="仿宋" w:cs="仿宋"/>
                <w:color w:val="000000"/>
                <w:kern w:val="0"/>
                <w:sz w:val="24"/>
                <w:szCs w:val="24"/>
                <w:lang w:bidi="ar"/>
              </w:rPr>
              <w:t>武汉市成品油综合智慧监管平台</w:t>
            </w:r>
          </w:p>
        </w:tc>
        <w:tc>
          <w:tcPr>
            <w:tcW w:w="112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三级</w:t>
            </w:r>
          </w:p>
        </w:tc>
        <w:tc>
          <w:tcPr>
            <w:tcW w:w="112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1</w:t>
            </w:r>
          </w:p>
        </w:tc>
      </w:tr>
    </w:tbl>
    <w:p>
      <w:pPr>
        <w:widowControl/>
        <w:spacing w:line="360" w:lineRule="auto"/>
        <w:ind w:firstLine="480" w:firstLineChars="200"/>
        <w:jc w:val="left"/>
        <w:rPr>
          <w:rFonts w:hint="default"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2、采购预算：网络安全等级保护测评8万元，商用密码应用与安全性评估费10万元。</w:t>
      </w:r>
      <w:bookmarkStart w:id="4" w:name="_GoBack"/>
      <w:bookmarkEnd w:id="4"/>
    </w:p>
    <w:p>
      <w:pPr>
        <w:pStyle w:val="2"/>
        <w:spacing w:line="360" w:lineRule="auto"/>
        <w:rPr>
          <w:rFonts w:hint="eastAsia" w:ascii="仿宋" w:hAnsi="仿宋" w:eastAsia="仿宋" w:cs="仿宋"/>
          <w:bCs w:val="0"/>
          <w:sz w:val="32"/>
        </w:rPr>
      </w:pPr>
      <w:r>
        <w:rPr>
          <w:rFonts w:hint="eastAsia" w:ascii="仿宋" w:hAnsi="仿宋" w:eastAsia="仿宋" w:cs="仿宋"/>
          <w:bCs w:val="0"/>
          <w:sz w:val="32"/>
        </w:rPr>
        <w:t>三、项目需求</w:t>
      </w:r>
    </w:p>
    <w:p>
      <w:pPr>
        <w:autoSpaceDE w:val="0"/>
        <w:autoSpaceDN w:val="0"/>
        <w:adjustRightInd w:val="0"/>
        <w:spacing w:line="360" w:lineRule="auto"/>
        <w:ind w:firstLine="482" w:firstLineChars="200"/>
        <w:jc w:val="left"/>
        <w:rPr>
          <w:rFonts w:hint="eastAsia" w:ascii="仿宋" w:hAnsi="仿宋" w:eastAsia="仿宋" w:cs="仿宋"/>
          <w:b/>
          <w:bCs/>
          <w:color w:val="000000"/>
          <w:kern w:val="0"/>
          <w:sz w:val="24"/>
          <w:szCs w:val="24"/>
          <w:lang w:bidi="ar"/>
        </w:rPr>
      </w:pPr>
      <w:r>
        <w:rPr>
          <w:rFonts w:hint="eastAsia" w:ascii="仿宋" w:hAnsi="仿宋" w:eastAsia="仿宋" w:cs="仿宋"/>
          <w:b/>
          <w:bCs/>
          <w:color w:val="000000"/>
          <w:kern w:val="0"/>
          <w:sz w:val="24"/>
          <w:szCs w:val="24"/>
          <w:lang w:bidi="ar"/>
        </w:rPr>
        <w:t>网络安全等级保护测评</w:t>
      </w:r>
    </w:p>
    <w:p>
      <w:pPr>
        <w:autoSpaceDE w:val="0"/>
        <w:autoSpaceDN w:val="0"/>
        <w:adjustRightInd w:val="0"/>
        <w:spacing w:line="360" w:lineRule="auto"/>
        <w:ind w:firstLine="480" w:firstLineChars="200"/>
        <w:jc w:val="left"/>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依据</w:t>
      </w:r>
      <w:r>
        <w:rPr>
          <w:rFonts w:hint="eastAsia" w:ascii="仿宋" w:hAnsi="仿宋" w:eastAsia="仿宋" w:cs="仿宋"/>
          <w:color w:val="000000"/>
          <w:sz w:val="24"/>
          <w:szCs w:val="24"/>
        </w:rPr>
        <w:t>《信息安全技术 网络安全等级保护基本要求》</w:t>
      </w:r>
      <w:r>
        <w:rPr>
          <w:rFonts w:hint="eastAsia" w:ascii="仿宋" w:hAnsi="仿宋" w:eastAsia="仿宋" w:cs="仿宋"/>
          <w:sz w:val="24"/>
          <w:szCs w:val="24"/>
        </w:rPr>
        <w:t>(GB/T 22239-2019)、《信息安全技术 网络安全等级保护测评要求》(GB/T 28448-2019)、《信息安全技术网络安全等级保护安全设计技术要求》（GB/T 25070-2019）、</w:t>
      </w:r>
      <w:r>
        <w:rPr>
          <w:rFonts w:hint="eastAsia" w:ascii="仿宋" w:hAnsi="仿宋" w:eastAsia="仿宋" w:cs="仿宋"/>
          <w:color w:val="000000"/>
          <w:kern w:val="0"/>
          <w:sz w:val="24"/>
          <w:szCs w:val="24"/>
          <w:lang w:bidi="ar"/>
        </w:rPr>
        <w:t xml:space="preserve">《信息安全技术信息安全风险评估规范（GB/T 20984-2007）的条款要求，逐一对重要信息系统进行安全保护定级、备案以及等级测评，开展信息系统等级保护测评工作。测评范围为项目目标所涉及的机房基础设施、网络环境、主机层面、应用层、数据库层及相关安全辅助设备与管理制度。服务目标为项目目标最终通过公安部门及相关部门的等级保护检查要求。 </w:t>
      </w:r>
    </w:p>
    <w:p>
      <w:pPr>
        <w:autoSpaceDE w:val="0"/>
        <w:autoSpaceDN w:val="0"/>
        <w:adjustRightInd w:val="0"/>
        <w:spacing w:line="360" w:lineRule="auto"/>
        <w:ind w:firstLine="482" w:firstLineChars="200"/>
        <w:jc w:val="left"/>
        <w:rPr>
          <w:rFonts w:hint="eastAsia" w:ascii="仿宋" w:hAnsi="仿宋" w:eastAsia="仿宋" w:cs="仿宋"/>
          <w:b/>
          <w:bCs/>
          <w:color w:val="000000"/>
          <w:kern w:val="0"/>
          <w:sz w:val="24"/>
          <w:szCs w:val="24"/>
          <w:lang w:bidi="ar"/>
        </w:rPr>
      </w:pPr>
      <w:r>
        <w:rPr>
          <w:rFonts w:hint="eastAsia" w:ascii="仿宋" w:hAnsi="仿宋" w:eastAsia="仿宋" w:cs="仿宋"/>
          <w:b/>
          <w:bCs/>
          <w:color w:val="000000"/>
          <w:kern w:val="0"/>
          <w:sz w:val="24"/>
          <w:szCs w:val="24"/>
          <w:lang w:bidi="ar"/>
        </w:rPr>
        <w:t>密码应用安全性评估</w:t>
      </w:r>
    </w:p>
    <w:p>
      <w:pPr>
        <w:autoSpaceDE w:val="0"/>
        <w:autoSpaceDN w:val="0"/>
        <w:adjustRightInd w:val="0"/>
        <w:spacing w:line="360" w:lineRule="auto"/>
        <w:ind w:firstLine="480" w:firstLineChars="200"/>
        <w:jc w:val="left"/>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根据《</w:t>
      </w:r>
      <w:r>
        <w:rPr>
          <w:rFonts w:hint="eastAsia" w:ascii="仿宋" w:hAnsi="仿宋" w:eastAsia="仿宋" w:cs="仿宋"/>
          <w:sz w:val="24"/>
          <w:szCs w:val="24"/>
        </w:rPr>
        <w:t>GB/T 39786-2021信息安全技术 信息系统密码应用基本要求</w:t>
      </w:r>
      <w:r>
        <w:rPr>
          <w:rFonts w:hint="eastAsia" w:ascii="仿宋" w:hAnsi="仿宋" w:eastAsia="仿宋" w:cs="仿宋"/>
          <w:color w:val="000000"/>
          <w:kern w:val="0"/>
          <w:sz w:val="24"/>
          <w:szCs w:val="24"/>
          <w:lang w:bidi="ar"/>
        </w:rPr>
        <w:t>》，对被测系统所涉及的物理和环境安全、网络和通信安全、设备和计算安全、应用和数据安全、密钥管理及安全管理等方面进行测评，出具密码应用安全性评估报告。</w:t>
      </w:r>
    </w:p>
    <w:p>
      <w:pPr>
        <w:pStyle w:val="3"/>
        <w:rPr>
          <w:rFonts w:hint="eastAsia" w:ascii="仿宋" w:hAnsi="仿宋" w:eastAsia="仿宋" w:cs="仿宋"/>
          <w:lang w:val="en-US"/>
        </w:rPr>
      </w:pPr>
      <w:r>
        <w:rPr>
          <w:rFonts w:hint="eastAsia" w:ascii="仿宋" w:hAnsi="仿宋" w:eastAsia="仿宋" w:cs="仿宋"/>
          <w:lang w:val="en-US"/>
        </w:rPr>
        <w:t>3.1</w:t>
      </w:r>
      <w:r>
        <w:rPr>
          <w:rFonts w:hint="eastAsia" w:ascii="仿宋" w:hAnsi="仿宋" w:eastAsia="仿宋" w:cs="仿宋"/>
        </w:rPr>
        <w:t>网络安全等级保护测评</w:t>
      </w:r>
    </w:p>
    <w:p>
      <w:pPr>
        <w:pStyle w:val="4"/>
        <w:rPr>
          <w:rFonts w:hint="eastAsia" w:ascii="仿宋" w:hAnsi="仿宋" w:eastAsia="仿宋" w:cs="仿宋"/>
        </w:rPr>
      </w:pPr>
      <w:r>
        <w:rPr>
          <w:rFonts w:hint="eastAsia" w:ascii="仿宋" w:hAnsi="仿宋" w:eastAsia="仿宋" w:cs="仿宋"/>
        </w:rPr>
        <w:t>3.1.1定级备案服务</w:t>
      </w:r>
    </w:p>
    <w:p>
      <w:pPr>
        <w:pStyle w:val="15"/>
        <w:rPr>
          <w:rFonts w:hint="eastAsia" w:ascii="仿宋" w:hAnsi="仿宋" w:eastAsia="仿宋" w:cs="仿宋"/>
          <w:szCs w:val="24"/>
        </w:rPr>
      </w:pPr>
      <w:r>
        <w:rPr>
          <w:rFonts w:hint="eastAsia" w:ascii="仿宋" w:hAnsi="仿宋" w:eastAsia="仿宋" w:cs="仿宋"/>
          <w:szCs w:val="24"/>
        </w:rPr>
        <w:t>协助需要进行测评的信息系统进行定级、备案材料的编写，协助采购方到公安监管等部门办理备案手续，确保信息系统安全保护等级定级准确、备案完整。</w:t>
      </w:r>
    </w:p>
    <w:p>
      <w:pPr>
        <w:pStyle w:val="4"/>
        <w:rPr>
          <w:rFonts w:hint="eastAsia" w:ascii="仿宋" w:hAnsi="仿宋" w:eastAsia="仿宋" w:cs="仿宋"/>
        </w:rPr>
      </w:pPr>
      <w:r>
        <w:rPr>
          <w:rFonts w:hint="eastAsia" w:ascii="仿宋" w:hAnsi="仿宋" w:eastAsia="仿宋" w:cs="仿宋"/>
        </w:rPr>
        <w:t xml:space="preserve">3.1.2信息系统安全等级保护测评服务 </w:t>
      </w:r>
    </w:p>
    <w:p>
      <w:pPr>
        <w:pStyle w:val="15"/>
        <w:rPr>
          <w:rFonts w:hint="eastAsia" w:ascii="仿宋" w:hAnsi="仿宋" w:eastAsia="仿宋" w:cs="仿宋"/>
          <w:szCs w:val="24"/>
        </w:rPr>
      </w:pPr>
      <w:r>
        <w:rPr>
          <w:rFonts w:hint="eastAsia" w:ascii="仿宋" w:hAnsi="仿宋" w:eastAsia="仿宋" w:cs="仿宋"/>
          <w:szCs w:val="24"/>
        </w:rPr>
        <w:t>依据《GB/T 22239-2019 信息安全技术信息系统安全等级保护基本要求》、《</w:t>
      </w:r>
      <w:r>
        <w:fldChar w:fldCharType="begin"/>
      </w:r>
      <w:r>
        <w:instrText xml:space="preserve"> HYPERLINK "http://www.baidu.com/link?url=mXgRblKIGLNk3k6UhKsFa_-6T1vQsBrKifbgzd1LtI4JXx5BRGffiSBkI_QepRsUF5AeucrF2fSo1nJ3VT3DFMXXpjVad_vwO2qPQqzDVaq" \t "_blank" </w:instrText>
      </w:r>
      <w:r>
        <w:fldChar w:fldCharType="separate"/>
      </w:r>
      <w:r>
        <w:rPr>
          <w:rFonts w:hint="eastAsia" w:ascii="仿宋" w:hAnsi="仿宋" w:eastAsia="仿宋" w:cs="仿宋"/>
          <w:szCs w:val="24"/>
        </w:rPr>
        <w:t>GB/T 28448-2019 信息安全技术信息系统安全等级保护测评要求</w:t>
      </w:r>
      <w:r>
        <w:rPr>
          <w:rFonts w:hint="eastAsia" w:ascii="仿宋" w:hAnsi="仿宋" w:eastAsia="仿宋" w:cs="仿宋"/>
          <w:szCs w:val="24"/>
        </w:rPr>
        <w:fldChar w:fldCharType="end"/>
      </w:r>
      <w:r>
        <w:rPr>
          <w:rFonts w:hint="eastAsia" w:ascii="仿宋" w:hAnsi="仿宋" w:eastAsia="仿宋" w:cs="仿宋"/>
          <w:szCs w:val="24"/>
        </w:rPr>
        <w:t>》、《GB/T 25070-2019信息安全技术网络安全等级保护安全设计技术要求》、《GBT28449-2018信息安全技术 网络安全等级保护测评过程指南》、《GB/T 20984-2007 信息安全技术信息安全风险评估规范》、《GB/T 22080-2016 信息技术 安全技术 信息安全管理体系要求》、《GB/T 22081-2016 信息技术 安全技术 信息安全管理实用规则》等标准的要求，对需要进行测评的信息系统进行等级测评，出具符合国家网络安全等级保护格式要求的等级测评报告。测评范围为项目目标所涉及的机房基础设施、网络环境、主机层面、应用层、数据库层及相关安全辅助设备与管理制度。</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测评内容应包括但不限于以下内容：</w:t>
      </w:r>
    </w:p>
    <w:p>
      <w:pPr>
        <w:pStyle w:val="15"/>
        <w:rPr>
          <w:rFonts w:hint="eastAsia" w:ascii="仿宋" w:hAnsi="仿宋" w:eastAsia="仿宋" w:cs="仿宋"/>
          <w:color w:val="000000"/>
          <w:szCs w:val="24"/>
        </w:rPr>
      </w:pPr>
      <w:r>
        <w:rPr>
          <w:rFonts w:hint="eastAsia" w:ascii="仿宋" w:hAnsi="仿宋" w:eastAsia="仿宋" w:cs="仿宋"/>
          <w:szCs w:val="24"/>
        </w:rPr>
        <w:t>（1）安全技术测评：包括安全物理环境、安全通信网络、安全区域边界、安全计算环境和安全管理中心</w:t>
      </w:r>
      <w:r>
        <w:rPr>
          <w:rFonts w:hint="eastAsia" w:ascii="仿宋" w:hAnsi="仿宋" w:eastAsia="仿宋" w:cs="仿宋"/>
          <w:color w:val="000000"/>
          <w:szCs w:val="24"/>
        </w:rPr>
        <w:t>等五个方面的安全测评；</w:t>
      </w:r>
    </w:p>
    <w:p>
      <w:pPr>
        <w:pStyle w:val="15"/>
        <w:rPr>
          <w:rFonts w:hint="eastAsia" w:ascii="仿宋" w:hAnsi="仿宋" w:eastAsia="仿宋" w:cs="仿宋"/>
          <w:szCs w:val="24"/>
        </w:rPr>
      </w:pPr>
      <w:r>
        <w:rPr>
          <w:rFonts w:hint="eastAsia" w:ascii="仿宋" w:hAnsi="仿宋" w:eastAsia="仿宋" w:cs="仿宋"/>
          <w:szCs w:val="24"/>
        </w:rPr>
        <w:t xml:space="preserve">（2）安全管理测评：安全管理制度、安全管理机构、安全管理人员、安全建设管理和安全运维管理等五个方面的安全测评； </w:t>
      </w:r>
    </w:p>
    <w:p>
      <w:pPr>
        <w:pStyle w:val="15"/>
        <w:rPr>
          <w:rFonts w:hint="eastAsia" w:ascii="仿宋" w:hAnsi="仿宋" w:eastAsia="仿宋" w:cs="仿宋"/>
          <w:szCs w:val="24"/>
        </w:rPr>
      </w:pPr>
      <w:r>
        <w:rPr>
          <w:rFonts w:hint="eastAsia" w:ascii="仿宋" w:hAnsi="仿宋" w:eastAsia="仿宋" w:cs="仿宋"/>
          <w:szCs w:val="24"/>
        </w:rPr>
        <w:t>交付物：《信息系统等级测评报告》、《信息系统等级保护备案证明》</w:t>
      </w:r>
    </w:p>
    <w:p>
      <w:pPr>
        <w:pStyle w:val="15"/>
        <w:rPr>
          <w:rFonts w:hint="eastAsia" w:ascii="仿宋" w:hAnsi="仿宋" w:eastAsia="仿宋" w:cs="仿宋"/>
          <w:szCs w:val="24"/>
        </w:rPr>
      </w:pPr>
    </w:p>
    <w:p>
      <w:pPr>
        <w:pStyle w:val="3"/>
        <w:rPr>
          <w:rFonts w:hint="eastAsia" w:ascii="仿宋" w:hAnsi="仿宋" w:eastAsia="仿宋" w:cs="仿宋"/>
          <w:lang w:val="en-US"/>
        </w:rPr>
      </w:pPr>
      <w:r>
        <w:rPr>
          <w:rFonts w:hint="eastAsia" w:ascii="仿宋" w:hAnsi="仿宋" w:eastAsia="仿宋" w:cs="仿宋"/>
          <w:lang w:val="en-US"/>
        </w:rPr>
        <w:t>3.2商用密码应用安全性评估</w:t>
      </w:r>
    </w:p>
    <w:p>
      <w:pPr>
        <w:pStyle w:val="4"/>
        <w:rPr>
          <w:rFonts w:hint="eastAsia" w:ascii="仿宋" w:hAnsi="仿宋" w:eastAsia="仿宋" w:cs="仿宋"/>
        </w:rPr>
      </w:pPr>
      <w:r>
        <w:rPr>
          <w:rFonts w:hint="eastAsia" w:ascii="仿宋" w:hAnsi="仿宋" w:eastAsia="仿宋" w:cs="仿宋"/>
        </w:rPr>
        <w:t>3.2.1商用密码应用安全性评估服务</w:t>
      </w:r>
    </w:p>
    <w:p>
      <w:pPr>
        <w:pStyle w:val="15"/>
        <w:rPr>
          <w:rFonts w:hint="eastAsia" w:ascii="仿宋" w:hAnsi="仿宋" w:eastAsia="仿宋" w:cs="仿宋"/>
          <w:szCs w:val="24"/>
        </w:rPr>
      </w:pPr>
      <w:r>
        <w:rPr>
          <w:rFonts w:hint="eastAsia" w:ascii="仿宋" w:hAnsi="仿宋" w:eastAsia="仿宋" w:cs="仿宋"/>
          <w:szCs w:val="24"/>
        </w:rPr>
        <w:t>根据《GB/T 39786-2021信息安全技术 信息系统密码应用基本要求》，对被测系统所涉及的物理和环境安全、网络和通信安全、设备和计算安全、应用和数据安全、密钥管理及安全管理等方面进行评估，出具密码应用安全性评估报告。</w:t>
      </w:r>
    </w:p>
    <w:p>
      <w:pPr>
        <w:pStyle w:val="15"/>
        <w:rPr>
          <w:rFonts w:hint="eastAsia" w:ascii="仿宋" w:hAnsi="仿宋" w:eastAsia="仿宋" w:cs="仿宋"/>
          <w:szCs w:val="24"/>
        </w:rPr>
      </w:pPr>
      <w:r>
        <w:rPr>
          <w:rFonts w:hint="eastAsia" w:ascii="仿宋" w:hAnsi="仿宋" w:eastAsia="仿宋" w:cs="仿宋"/>
          <w:szCs w:val="24"/>
        </w:rPr>
        <w:t>物理和环境安全包括：身份鉴别、电子门禁记录数据完整性、视频记录数据完整性方面评估。</w:t>
      </w:r>
    </w:p>
    <w:p>
      <w:pPr>
        <w:pStyle w:val="15"/>
        <w:rPr>
          <w:rFonts w:hint="eastAsia" w:ascii="仿宋" w:hAnsi="仿宋" w:eastAsia="仿宋" w:cs="仿宋"/>
          <w:szCs w:val="24"/>
        </w:rPr>
      </w:pPr>
      <w:r>
        <w:rPr>
          <w:rFonts w:hint="eastAsia" w:ascii="仿宋" w:hAnsi="仿宋" w:eastAsia="仿宋" w:cs="仿宋"/>
          <w:szCs w:val="24"/>
        </w:rPr>
        <w:t>网络和通信安全包括：身份鉴别、通信数据完整性、网络边界访问控制信息的完整性、安全接入认证方面评估。</w:t>
      </w:r>
    </w:p>
    <w:p>
      <w:pPr>
        <w:pStyle w:val="15"/>
        <w:rPr>
          <w:rFonts w:hint="eastAsia" w:ascii="仿宋" w:hAnsi="仿宋" w:eastAsia="仿宋" w:cs="仿宋"/>
          <w:szCs w:val="24"/>
        </w:rPr>
      </w:pPr>
      <w:r>
        <w:rPr>
          <w:rFonts w:hint="eastAsia" w:ascii="仿宋" w:hAnsi="仿宋" w:eastAsia="仿宋" w:cs="仿宋"/>
          <w:szCs w:val="24"/>
        </w:rPr>
        <w:t>设备和计算安全包括：身份鉴别、远程管理通道安全、系统资源访问控制信息完整性、重要信息资源安全标记完整性、日志记录完整性、重要可执行程序完整性、重要可执行程序来源真实性方面评估。</w:t>
      </w:r>
    </w:p>
    <w:p>
      <w:pPr>
        <w:pStyle w:val="15"/>
        <w:rPr>
          <w:rFonts w:hint="eastAsia" w:ascii="仿宋" w:hAnsi="仿宋" w:eastAsia="仿宋" w:cs="仿宋"/>
          <w:szCs w:val="24"/>
        </w:rPr>
      </w:pPr>
      <w:r>
        <w:rPr>
          <w:rFonts w:hint="eastAsia" w:ascii="仿宋" w:hAnsi="仿宋" w:eastAsia="仿宋" w:cs="仿宋"/>
          <w:szCs w:val="24"/>
        </w:rPr>
        <w:t>应用和数据安全：身份鉴别、访问控制信息完整性、重要信息资源安全标记完整性、重要数据传输机密性、重要数据存储机密性、重要数据传输完整性、不可否认性方面评估。</w:t>
      </w:r>
    </w:p>
    <w:p>
      <w:pPr>
        <w:pStyle w:val="15"/>
        <w:rPr>
          <w:rFonts w:hint="eastAsia" w:ascii="仿宋" w:hAnsi="仿宋" w:eastAsia="仿宋" w:cs="仿宋"/>
          <w:szCs w:val="24"/>
        </w:rPr>
      </w:pPr>
      <w:r>
        <w:rPr>
          <w:rFonts w:hint="eastAsia" w:ascii="仿宋" w:hAnsi="仿宋" w:eastAsia="仿宋" w:cs="仿宋"/>
          <w:szCs w:val="24"/>
        </w:rPr>
        <w:t>秘钥管理及安全管理：具备密码应用安全管理制度、秘钥管理规则、建立操作规程、定期修订安全管理制度、明确管理制度发布流程、制度执行过程记录留存方面评估。</w:t>
      </w:r>
    </w:p>
    <w:p>
      <w:pPr>
        <w:pStyle w:val="15"/>
        <w:rPr>
          <w:rFonts w:hint="eastAsia" w:ascii="仿宋" w:hAnsi="仿宋" w:eastAsia="仿宋" w:cs="仿宋"/>
          <w:color w:val="000000"/>
          <w:szCs w:val="24"/>
        </w:rPr>
      </w:pPr>
      <w:r>
        <w:rPr>
          <w:rFonts w:hint="eastAsia" w:ascii="仿宋" w:hAnsi="仿宋" w:eastAsia="仿宋" w:cs="仿宋"/>
          <w:color w:val="000000"/>
          <w:szCs w:val="24"/>
        </w:rPr>
        <w:t>测试人员需具备商用密码应用安全性评估人员测评能力考核证书或NSATP-A注册网络安全渗透评估专业人员证书。</w:t>
      </w:r>
    </w:p>
    <w:p>
      <w:pPr>
        <w:pStyle w:val="15"/>
        <w:rPr>
          <w:rFonts w:hint="eastAsia" w:ascii="仿宋" w:hAnsi="仿宋" w:eastAsia="仿宋" w:cs="仿宋"/>
          <w:szCs w:val="24"/>
        </w:rPr>
      </w:pPr>
      <w:r>
        <w:rPr>
          <w:rFonts w:hint="eastAsia" w:ascii="仿宋" w:hAnsi="仿宋" w:eastAsia="仿宋" w:cs="仿宋"/>
          <w:szCs w:val="24"/>
        </w:rPr>
        <w:t>交付物：《信息系统密码应用安全性评估报告》</w:t>
      </w:r>
    </w:p>
    <w:p>
      <w:pPr>
        <w:pStyle w:val="4"/>
        <w:rPr>
          <w:rFonts w:hint="eastAsia" w:ascii="仿宋" w:hAnsi="仿宋" w:eastAsia="仿宋" w:cs="仿宋"/>
        </w:rPr>
      </w:pPr>
      <w:r>
        <w:rPr>
          <w:rFonts w:hint="eastAsia" w:ascii="仿宋" w:hAnsi="仿宋" w:eastAsia="仿宋" w:cs="仿宋"/>
        </w:rPr>
        <w:t>3.2.2整改咨询服务</w:t>
      </w:r>
    </w:p>
    <w:p>
      <w:pPr>
        <w:pStyle w:val="15"/>
        <w:rPr>
          <w:rFonts w:hint="eastAsia" w:ascii="仿宋" w:hAnsi="仿宋" w:eastAsia="仿宋" w:cs="仿宋"/>
          <w:szCs w:val="24"/>
        </w:rPr>
      </w:pPr>
      <w:r>
        <w:rPr>
          <w:rFonts w:hint="eastAsia" w:ascii="仿宋" w:hAnsi="仿宋" w:eastAsia="仿宋" w:cs="仿宋"/>
          <w:szCs w:val="24"/>
        </w:rPr>
        <w:t>对评估中检测出的问题针对性提出解决方案，协助采购方完善系统防护措施，达到对应标准，满足监督审核要求。</w:t>
      </w:r>
    </w:p>
    <w:p>
      <w:pPr>
        <w:pStyle w:val="2"/>
        <w:spacing w:line="360" w:lineRule="auto"/>
        <w:rPr>
          <w:rFonts w:hint="eastAsia" w:ascii="仿宋" w:hAnsi="仿宋" w:eastAsia="仿宋" w:cs="仿宋"/>
          <w:bCs w:val="0"/>
          <w:sz w:val="32"/>
        </w:rPr>
      </w:pPr>
      <w:bookmarkStart w:id="2" w:name="_Toc9091"/>
      <w:bookmarkStart w:id="3" w:name="_Toc18492"/>
      <w:r>
        <w:rPr>
          <w:rFonts w:hint="eastAsia" w:ascii="仿宋" w:hAnsi="仿宋" w:eastAsia="仿宋" w:cs="仿宋"/>
          <w:bCs w:val="0"/>
          <w:sz w:val="32"/>
        </w:rPr>
        <w:t>四、整体要求</w:t>
      </w:r>
    </w:p>
    <w:p>
      <w:pPr>
        <w:pStyle w:val="3"/>
        <w:tabs>
          <w:tab w:val="left" w:pos="426"/>
          <w:tab w:val="left" w:pos="3870"/>
        </w:tabs>
        <w:rPr>
          <w:rFonts w:hint="eastAsia" w:ascii="仿宋" w:hAnsi="仿宋" w:eastAsia="仿宋" w:cs="仿宋"/>
          <w:sz w:val="28"/>
          <w:szCs w:val="28"/>
          <w:lang w:val="en-US"/>
        </w:rPr>
      </w:pPr>
      <w:r>
        <w:rPr>
          <w:rFonts w:hint="eastAsia" w:ascii="仿宋" w:hAnsi="仿宋" w:eastAsia="仿宋" w:cs="仿宋"/>
          <w:sz w:val="28"/>
          <w:szCs w:val="28"/>
          <w:lang w:val="en-US"/>
        </w:rPr>
        <w:t>4.1项目实施原则</w:t>
      </w:r>
    </w:p>
    <w:p>
      <w:pPr>
        <w:autoSpaceDE w:val="0"/>
        <w:autoSpaceDN w:val="0"/>
        <w:adjustRightInd w:val="0"/>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在项目实施过程中必须满足以下原则：</w:t>
      </w:r>
    </w:p>
    <w:p>
      <w:pPr>
        <w:autoSpaceDE w:val="0"/>
        <w:autoSpaceDN w:val="0"/>
        <w:adjustRightInd w:val="0"/>
        <w:spacing w:line="360" w:lineRule="auto"/>
        <w:ind w:firstLine="482" w:firstLineChars="200"/>
        <w:jc w:val="left"/>
        <w:rPr>
          <w:rFonts w:hint="eastAsia" w:ascii="仿宋" w:hAnsi="仿宋" w:eastAsia="仿宋" w:cs="仿宋"/>
          <w:sz w:val="24"/>
          <w:szCs w:val="24"/>
        </w:rPr>
      </w:pPr>
      <w:r>
        <w:rPr>
          <w:rFonts w:hint="eastAsia" w:ascii="仿宋" w:hAnsi="仿宋" w:eastAsia="仿宋" w:cs="仿宋"/>
          <w:b/>
          <w:sz w:val="24"/>
          <w:szCs w:val="24"/>
        </w:rPr>
        <w:t>保密原则</w:t>
      </w:r>
      <w:r>
        <w:rPr>
          <w:rFonts w:hint="eastAsia" w:ascii="仿宋" w:hAnsi="仿宋" w:eastAsia="仿宋" w:cs="仿宋"/>
          <w:sz w:val="24"/>
          <w:szCs w:val="24"/>
        </w:rPr>
        <w:t>：对项目实施过程数据和结果数据严格保密，未经授权不得泄露给任何单位和个人，不得利用此数据进行任何侵害招标方的行为。</w:t>
      </w:r>
    </w:p>
    <w:p>
      <w:pPr>
        <w:autoSpaceDE w:val="0"/>
        <w:autoSpaceDN w:val="0"/>
        <w:adjustRightInd w:val="0"/>
        <w:spacing w:line="360" w:lineRule="auto"/>
        <w:ind w:firstLine="482" w:firstLineChars="200"/>
        <w:jc w:val="left"/>
        <w:rPr>
          <w:rFonts w:hint="eastAsia" w:ascii="仿宋" w:hAnsi="仿宋" w:eastAsia="仿宋" w:cs="仿宋"/>
          <w:sz w:val="24"/>
          <w:szCs w:val="24"/>
        </w:rPr>
      </w:pPr>
      <w:r>
        <w:rPr>
          <w:rFonts w:hint="eastAsia" w:ascii="仿宋" w:hAnsi="仿宋" w:eastAsia="仿宋" w:cs="仿宋"/>
          <w:b/>
          <w:sz w:val="24"/>
          <w:szCs w:val="24"/>
        </w:rPr>
        <w:t>标准性原则</w:t>
      </w:r>
      <w:r>
        <w:rPr>
          <w:rFonts w:hint="eastAsia" w:ascii="仿宋" w:hAnsi="仿宋" w:eastAsia="仿宋" w:cs="仿宋"/>
          <w:sz w:val="24"/>
          <w:szCs w:val="24"/>
        </w:rPr>
        <w:t>：实施方案的设计与实施应依据国家信息系统安全等级保护的相关标准进行。</w:t>
      </w:r>
    </w:p>
    <w:p>
      <w:pPr>
        <w:autoSpaceDE w:val="0"/>
        <w:autoSpaceDN w:val="0"/>
        <w:adjustRightInd w:val="0"/>
        <w:spacing w:line="360" w:lineRule="auto"/>
        <w:ind w:firstLine="482" w:firstLineChars="200"/>
        <w:jc w:val="left"/>
        <w:rPr>
          <w:rFonts w:hint="eastAsia" w:ascii="仿宋" w:hAnsi="仿宋" w:eastAsia="仿宋" w:cs="仿宋"/>
          <w:sz w:val="24"/>
          <w:szCs w:val="24"/>
        </w:rPr>
      </w:pPr>
      <w:r>
        <w:rPr>
          <w:rFonts w:hint="eastAsia" w:ascii="仿宋" w:hAnsi="仿宋" w:eastAsia="仿宋" w:cs="仿宋"/>
          <w:b/>
          <w:sz w:val="24"/>
          <w:szCs w:val="24"/>
        </w:rPr>
        <w:t>规范性原则</w:t>
      </w:r>
      <w:r>
        <w:rPr>
          <w:rFonts w:hint="eastAsia" w:ascii="仿宋" w:hAnsi="仿宋" w:eastAsia="仿宋" w:cs="仿宋"/>
          <w:sz w:val="24"/>
          <w:szCs w:val="24"/>
        </w:rPr>
        <w:t>：投标方的工作中的过程和文档，具有很好的规范性，可以便于项目的跟踪和控制。</w:t>
      </w:r>
    </w:p>
    <w:p>
      <w:pPr>
        <w:autoSpaceDE w:val="0"/>
        <w:autoSpaceDN w:val="0"/>
        <w:adjustRightInd w:val="0"/>
        <w:spacing w:line="360" w:lineRule="auto"/>
        <w:ind w:firstLine="482" w:firstLineChars="200"/>
        <w:jc w:val="left"/>
        <w:rPr>
          <w:rFonts w:hint="eastAsia" w:ascii="仿宋" w:hAnsi="仿宋" w:eastAsia="仿宋" w:cs="仿宋"/>
          <w:sz w:val="24"/>
          <w:szCs w:val="24"/>
        </w:rPr>
      </w:pPr>
      <w:r>
        <w:rPr>
          <w:rFonts w:hint="eastAsia" w:ascii="仿宋" w:hAnsi="仿宋" w:eastAsia="仿宋" w:cs="仿宋"/>
          <w:b/>
          <w:sz w:val="24"/>
          <w:szCs w:val="24"/>
        </w:rPr>
        <w:t>可控性原则</w:t>
      </w:r>
      <w:r>
        <w:rPr>
          <w:rFonts w:hint="eastAsia" w:ascii="仿宋" w:hAnsi="仿宋" w:eastAsia="仿宋" w:cs="仿宋"/>
          <w:sz w:val="24"/>
          <w:szCs w:val="24"/>
        </w:rPr>
        <w:t>：项目安排工作进度要跟上进度表的安排，保证工作的可控性。</w:t>
      </w:r>
    </w:p>
    <w:p>
      <w:pPr>
        <w:autoSpaceDE w:val="0"/>
        <w:autoSpaceDN w:val="0"/>
        <w:adjustRightInd w:val="0"/>
        <w:spacing w:line="360" w:lineRule="auto"/>
        <w:ind w:firstLine="482" w:firstLineChars="200"/>
        <w:jc w:val="left"/>
        <w:rPr>
          <w:rFonts w:hint="eastAsia" w:ascii="仿宋" w:hAnsi="仿宋" w:eastAsia="仿宋" w:cs="仿宋"/>
          <w:sz w:val="24"/>
          <w:szCs w:val="24"/>
        </w:rPr>
      </w:pPr>
      <w:r>
        <w:rPr>
          <w:rFonts w:hint="eastAsia" w:ascii="仿宋" w:hAnsi="仿宋" w:eastAsia="仿宋" w:cs="仿宋"/>
          <w:b/>
          <w:sz w:val="24"/>
          <w:szCs w:val="24"/>
        </w:rPr>
        <w:t>最小影响原则</w:t>
      </w:r>
      <w:r>
        <w:rPr>
          <w:rFonts w:hint="eastAsia" w:ascii="仿宋" w:hAnsi="仿宋" w:eastAsia="仿宋" w:cs="仿宋"/>
          <w:sz w:val="24"/>
          <w:szCs w:val="24"/>
        </w:rPr>
        <w:t>：项目实施应尽可能小的影响系统和网络，并在可控范围内；测评工作不能对现有信息系统的正常运行、业务的正常开展产生任何影响。</w:t>
      </w:r>
    </w:p>
    <w:p>
      <w:pPr>
        <w:autoSpaceDE w:val="0"/>
        <w:autoSpaceDN w:val="0"/>
        <w:adjustRightInd w:val="0"/>
        <w:spacing w:line="360" w:lineRule="auto"/>
        <w:ind w:firstLine="482" w:firstLineChars="200"/>
        <w:jc w:val="left"/>
        <w:rPr>
          <w:rFonts w:hint="eastAsia" w:ascii="仿宋" w:hAnsi="仿宋" w:eastAsia="仿宋" w:cs="仿宋"/>
          <w:sz w:val="24"/>
          <w:szCs w:val="24"/>
        </w:rPr>
      </w:pPr>
      <w:r>
        <w:rPr>
          <w:rFonts w:hint="eastAsia" w:ascii="仿宋" w:hAnsi="仿宋" w:eastAsia="仿宋" w:cs="仿宋"/>
          <w:b/>
          <w:sz w:val="24"/>
          <w:szCs w:val="24"/>
        </w:rPr>
        <w:t>整体性原则</w:t>
      </w:r>
      <w:r>
        <w:rPr>
          <w:rFonts w:hint="eastAsia" w:ascii="仿宋" w:hAnsi="仿宋" w:eastAsia="仿宋" w:cs="仿宋"/>
          <w:sz w:val="24"/>
          <w:szCs w:val="24"/>
        </w:rPr>
        <w:t>：测评/评估的范围和内容应当整体全面。</w:t>
      </w:r>
    </w:p>
    <w:p>
      <w:pPr>
        <w:pStyle w:val="3"/>
        <w:tabs>
          <w:tab w:val="left" w:pos="426"/>
          <w:tab w:val="left" w:pos="3870"/>
        </w:tabs>
        <w:rPr>
          <w:rFonts w:hint="eastAsia" w:ascii="仿宋" w:hAnsi="仿宋" w:eastAsia="仿宋" w:cs="仿宋"/>
          <w:sz w:val="28"/>
          <w:szCs w:val="28"/>
          <w:lang w:val="en-US"/>
        </w:rPr>
      </w:pPr>
      <w:r>
        <w:rPr>
          <w:rFonts w:hint="eastAsia" w:ascii="仿宋" w:hAnsi="仿宋" w:eastAsia="仿宋" w:cs="仿宋"/>
          <w:sz w:val="28"/>
          <w:szCs w:val="28"/>
          <w:lang w:val="en-US"/>
        </w:rPr>
        <w:t>4.2专用工具要求</w:t>
      </w:r>
    </w:p>
    <w:p>
      <w:pPr>
        <w:autoSpaceDE w:val="0"/>
        <w:autoSpaceDN w:val="0"/>
        <w:adjustRightInd w:val="0"/>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本项目涉及工程实施和验收测试所需的工具，由投标方负责提供。用于网络安全等级保护测评和风险评估的工具主要包括服务器安全测评工具、网络设备安全测评工具、终端计算机安全测评工具、网站等应用系统安全测评工具、端口扫描工具等。</w:t>
      </w:r>
    </w:p>
    <w:p>
      <w:pPr>
        <w:autoSpaceDE w:val="0"/>
        <w:autoSpaceDN w:val="0"/>
        <w:adjustRightInd w:val="0"/>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商用密码应用安全性评估工具须包含算法验证工具、随机数检测工具、协议分析工具等。在使用前，应对工具进行测评，如果需要则对工具进行软件或代码升级。</w:t>
      </w:r>
    </w:p>
    <w:p>
      <w:pPr>
        <w:pStyle w:val="3"/>
        <w:tabs>
          <w:tab w:val="left" w:pos="426"/>
          <w:tab w:val="left" w:pos="3870"/>
        </w:tabs>
        <w:rPr>
          <w:rFonts w:hint="eastAsia" w:ascii="仿宋" w:hAnsi="仿宋" w:eastAsia="仿宋" w:cs="仿宋"/>
          <w:sz w:val="28"/>
          <w:szCs w:val="28"/>
          <w:lang w:val="en-US"/>
        </w:rPr>
      </w:pPr>
      <w:r>
        <w:rPr>
          <w:rFonts w:hint="eastAsia" w:ascii="仿宋" w:hAnsi="仿宋" w:eastAsia="仿宋" w:cs="仿宋"/>
          <w:sz w:val="28"/>
          <w:szCs w:val="28"/>
          <w:lang w:val="en-US"/>
        </w:rPr>
        <w:t>4.3其他要求</w:t>
      </w:r>
    </w:p>
    <w:p>
      <w:pPr>
        <w:autoSpaceDE w:val="0"/>
        <w:autoSpaceDN w:val="0"/>
        <w:adjustRightInd w:val="0"/>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（1）供应商应详细描述本次等级保护测评、商用密码应用安全性评估以及风险评估整体实施方案，包括项目概述、测试过程中需使用测试设备清单、时间安排、阶段性文档提交等。</w:t>
      </w:r>
    </w:p>
    <w:p>
      <w:pPr>
        <w:autoSpaceDE w:val="0"/>
        <w:autoSpaceDN w:val="0"/>
        <w:adjustRightInd w:val="0"/>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（2）供应商应详细描述测评人员的组成、资质及各自职责的划分。供应商应配置有测评资质的专业人员进行本次商用密码评估工作。</w:t>
      </w:r>
    </w:p>
    <w:p>
      <w:pPr>
        <w:autoSpaceDE w:val="0"/>
        <w:autoSpaceDN w:val="0"/>
        <w:adjustRightInd w:val="0"/>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3）供应商必须具备丰富的项目经验，其中参与项目的测评人员具有网络安全等级保护测评师认证和商用密码应用安全性评估人员认证；供应商应持有中国信息安全测评中心颁发的信息安全服务资质证书（安全工程类一级）或质量管理体系认证证书(ISO9001)或检验检测机构资质认定证书（CMA）。</w:t>
      </w:r>
    </w:p>
    <w:p>
      <w:pPr>
        <w:autoSpaceDE w:val="0"/>
        <w:autoSpaceDN w:val="0"/>
        <w:adjustRightInd w:val="0"/>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（4）本项目需要的运行环境（如场地、网络环境等）由招标人提供，供应商应详细描述需要的运行环境的具体要求。</w:t>
      </w:r>
      <w:bookmarkEnd w:id="2"/>
      <w:bookmarkEnd w:id="3"/>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20B0604020202020204"/>
    <w:charset w:val="00"/>
    <w:family w:val="swiss"/>
    <w:pitch w:val="default"/>
    <w:sig w:usb0="00000000" w:usb1="00000000" w:usb2="00000009" w:usb3="00000000" w:csb0="000001FF" w:csb1="00000000"/>
  </w:font>
  <w:font w:name="方正黑体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2000000" w:usb3="00000000" w:csb0="0000019F" w:csb1="00000000"/>
  </w:font>
  <w:font w:name="Noto Sans Syriac Eastern">
    <w:panose1 w:val="02040503050306020203"/>
    <w:charset w:val="86"/>
    <w:family w:val="auto"/>
    <w:pitch w:val="default"/>
    <w:sig w:usb0="00000000" w:usb1="00000000" w:usb2="00000080" w:usb3="00000000" w:csb0="203E0161" w:csb1="D7FF0000"/>
  </w:font>
  <w:font w:name="HiddenHorzOCR">
    <w:altName w:val="思源宋体"/>
    <w:panose1 w:val="00000000000000000000"/>
    <w:charset w:val="00"/>
    <w:family w:val="auto"/>
    <w:pitch w:val="default"/>
    <w:sig w:usb0="00000000" w:usb1="00000000" w:usb2="00000000" w:usb3="00000000" w:csb0="00040001" w:csb1="00000000"/>
  </w:font>
  <w:font w:name="思源宋体">
    <w:panose1 w:val="02020400000000000000"/>
    <w:charset w:val="86"/>
    <w:family w:val="auto"/>
    <w:pitch w:val="default"/>
    <w:sig w:usb0="30000083" w:usb1="2BDF3C10" w:usb2="00000016" w:usb3="00000000" w:csb0="602E0107" w:csb1="00000000"/>
  </w:font>
  <w:font w:name="方正小标宋简体">
    <w:panose1 w:val="02000000000000000000"/>
    <w:charset w:val="86"/>
    <w:family w:val="auto"/>
    <w:pitch w:val="default"/>
    <w:sig w:usb0="A00002BF" w:usb1="184F6CFA" w:usb2="00000012" w:usb3="00000000" w:csb0="00040001" w:csb1="00000000"/>
  </w:font>
  <w:font w:name="仿宋">
    <w:altName w:val="方正仿宋_GBK"/>
    <w:panose1 w:val="02010609060101010101"/>
    <w:charset w:val="86"/>
    <w:family w:val="modern"/>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国标仿宋">
    <w:panose1 w:val="02000500000000000000"/>
    <w:charset w:val="86"/>
    <w:family w:val="auto"/>
    <w:pitch w:val="default"/>
    <w:sig w:usb0="A00002BF" w:usb1="38C77CFA" w:usb2="00000016" w:usb3="00000000" w:csb0="00060007"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multilevel"/>
    <w:tmpl w:val="00000002"/>
    <w:lvl w:ilvl="0" w:tentative="0">
      <w:start w:val="1"/>
      <w:numFmt w:val="decimal"/>
      <w:lvlText w:val="%1"/>
      <w:lvlJc w:val="left"/>
      <w:pPr>
        <w:ind w:left="845" w:hanging="420"/>
      </w:pPr>
      <w:rPr>
        <w:rFonts w:hint="default" w:ascii="宋体" w:hAnsi="宋体" w:eastAsia="宋体" w:cs="Times New Roman"/>
        <w:b w:val="0"/>
        <w:color w:val="auto"/>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k1OGQ0M2UxYzZiNDFmN2NhN2RiNWFkZTExMTNiMDYifQ=="/>
  </w:docVars>
  <w:rsids>
    <w:rsidRoot w:val="00F845B1"/>
    <w:rsid w:val="000B2817"/>
    <w:rsid w:val="004D7AC5"/>
    <w:rsid w:val="00767C2F"/>
    <w:rsid w:val="00B73CA0"/>
    <w:rsid w:val="00F845B1"/>
    <w:rsid w:val="022D1ED7"/>
    <w:rsid w:val="06F229CF"/>
    <w:rsid w:val="0D172115"/>
    <w:rsid w:val="2B7F1D88"/>
    <w:rsid w:val="2C6F32AC"/>
    <w:rsid w:val="323002BC"/>
    <w:rsid w:val="36D31229"/>
    <w:rsid w:val="5B3DD527"/>
    <w:rsid w:val="6B8E3DCB"/>
    <w:rsid w:val="71603A80"/>
    <w:rsid w:val="77E600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widowControl/>
      <w:spacing w:before="260" w:after="260" w:line="413" w:lineRule="auto"/>
      <w:jc w:val="left"/>
      <w:outlineLvl w:val="1"/>
    </w:pPr>
    <w:rPr>
      <w:rFonts w:ascii="Arial" w:hAnsi="Arial" w:eastAsia="黑体"/>
      <w:b/>
      <w:bCs/>
      <w:kern w:val="0"/>
      <w:sz w:val="32"/>
      <w:szCs w:val="32"/>
      <w:lang w:val="zh-CN"/>
    </w:rPr>
  </w:style>
  <w:style w:type="paragraph" w:styleId="4">
    <w:name w:val="heading 3"/>
    <w:basedOn w:val="1"/>
    <w:next w:val="1"/>
    <w:qFormat/>
    <w:uiPriority w:val="9"/>
    <w:pPr>
      <w:keepNext/>
      <w:keepLines/>
      <w:spacing w:before="260" w:after="260" w:line="416" w:lineRule="auto"/>
      <w:outlineLvl w:val="2"/>
    </w:pPr>
    <w:rPr>
      <w:b/>
      <w:bCs/>
      <w:sz w:val="32"/>
      <w:szCs w:val="32"/>
    </w:rPr>
  </w:style>
  <w:style w:type="paragraph" w:styleId="5">
    <w:name w:val="heading 4"/>
    <w:basedOn w:val="1"/>
    <w:next w:val="1"/>
    <w:qFormat/>
    <w:uiPriority w:val="0"/>
    <w:pPr>
      <w:keepNext/>
      <w:keepLines/>
      <w:spacing w:before="280" w:after="290" w:line="376" w:lineRule="auto"/>
      <w:outlineLvl w:val="3"/>
    </w:pPr>
    <w:rPr>
      <w:rFonts w:ascii="Cambria" w:hAnsi="Cambria"/>
      <w:b/>
      <w:bCs/>
      <w:szCs w:val="28"/>
    </w:rPr>
  </w:style>
  <w:style w:type="paragraph" w:styleId="6">
    <w:name w:val="heading 5"/>
    <w:basedOn w:val="1"/>
    <w:next w:val="1"/>
    <w:unhideWhenUsed/>
    <w:qFormat/>
    <w:uiPriority w:val="0"/>
    <w:pPr>
      <w:keepNext/>
      <w:keepLines/>
      <w:spacing w:before="280" w:after="290" w:line="372" w:lineRule="auto"/>
      <w:outlineLvl w:val="4"/>
    </w:pPr>
    <w:rPr>
      <w:b/>
      <w:sz w:val="28"/>
    </w:rPr>
  </w:style>
  <w:style w:type="character" w:default="1" w:styleId="12">
    <w:name w:val="Default Paragraph Font"/>
    <w:semiHidden/>
    <w:unhideWhenUsed/>
    <w:qFormat/>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7">
    <w:name w:val="Normal Indent"/>
    <w:basedOn w:val="1"/>
    <w:qFormat/>
    <w:uiPriority w:val="0"/>
    <w:pPr>
      <w:spacing w:line="360" w:lineRule="auto"/>
      <w:ind w:firstLine="420"/>
    </w:pPr>
    <w:rPr>
      <w:kern w:val="0"/>
      <w:sz w:val="20"/>
      <w:szCs w:val="20"/>
    </w:rPr>
  </w:style>
  <w:style w:type="paragraph" w:styleId="8">
    <w:name w:val="Body Text Indent"/>
    <w:basedOn w:val="1"/>
    <w:qFormat/>
    <w:uiPriority w:val="0"/>
    <w:pPr>
      <w:adjustRightInd w:val="0"/>
      <w:snapToGrid w:val="0"/>
      <w:spacing w:line="460" w:lineRule="exact"/>
      <w:ind w:firstLine="480" w:firstLineChars="200"/>
    </w:pPr>
    <w:rPr>
      <w:rFonts w:ascii="宋体" w:hAnsi="宋体"/>
      <w:sz w:val="24"/>
    </w:rPr>
  </w:style>
  <w:style w:type="paragraph" w:styleId="9">
    <w:name w:val="header"/>
    <w:basedOn w:val="1"/>
    <w:next w:val="1"/>
    <w:qFormat/>
    <w:uiPriority w:val="99"/>
    <w:pPr>
      <w:pBdr>
        <w:bottom w:val="single" w:color="auto" w:sz="6" w:space="1"/>
      </w:pBdr>
      <w:tabs>
        <w:tab w:val="center" w:pos="4153"/>
        <w:tab w:val="right" w:pos="8306"/>
      </w:tabs>
      <w:snapToGrid w:val="0"/>
      <w:jc w:val="center"/>
    </w:pPr>
    <w:rPr>
      <w:kern w:val="0"/>
      <w:sz w:val="18"/>
      <w:szCs w:val="18"/>
    </w:rPr>
  </w:style>
  <w:style w:type="paragraph" w:styleId="10">
    <w:name w:val="Body Text First Indent 2"/>
    <w:basedOn w:val="8"/>
    <w:qFormat/>
    <w:uiPriority w:val="0"/>
    <w:pPr>
      <w:ind w:firstLine="420"/>
    </w:pPr>
    <w:rPr>
      <w:sz w:val="21"/>
    </w:rPr>
  </w:style>
  <w:style w:type="paragraph" w:styleId="13">
    <w:name w:val="List Paragraph"/>
    <w:basedOn w:val="1"/>
    <w:qFormat/>
    <w:uiPriority w:val="34"/>
    <w:pPr>
      <w:ind w:firstLine="420" w:firstLineChars="200"/>
    </w:pPr>
    <w:rPr>
      <w:kern w:val="0"/>
      <w:sz w:val="24"/>
      <w:szCs w:val="24"/>
    </w:rPr>
  </w:style>
  <w:style w:type="paragraph" w:customStyle="1" w:styleId="14">
    <w:name w:val="标题4"/>
    <w:basedOn w:val="5"/>
    <w:qFormat/>
    <w:uiPriority w:val="0"/>
    <w:rPr>
      <w:rFonts w:ascii="Arial" w:hAnsi="Arial" w:eastAsia="黑体"/>
      <w:bCs w:val="0"/>
      <w:szCs w:val="20"/>
    </w:rPr>
  </w:style>
  <w:style w:type="paragraph" w:customStyle="1" w:styleId="15">
    <w:name w:val="正文标准样式ty"/>
    <w:basedOn w:val="1"/>
    <w:qFormat/>
    <w:uiPriority w:val="0"/>
    <w:pPr>
      <w:spacing w:line="360" w:lineRule="auto"/>
      <w:ind w:firstLine="480" w:firstLineChars="200"/>
    </w:pPr>
    <w:rPr>
      <w:sz w:val="24"/>
      <w:szCs w:val="20"/>
    </w:rPr>
  </w:style>
  <w:style w:type="character" w:customStyle="1" w:styleId="16">
    <w:name w:val="font01"/>
    <w:qFormat/>
    <w:uiPriority w:val="0"/>
    <w:rPr>
      <w:rFonts w:ascii="HiddenHorzOCR" w:hAnsi="HiddenHorzOCR" w:eastAsia="HiddenHorzOCR" w:cs="HiddenHorzOCR"/>
      <w:color w:val="6E6E74"/>
      <w:sz w:val="24"/>
      <w:szCs w:val="24"/>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1538</Words>
  <Characters>1616</Characters>
  <Lines>124</Lines>
  <Paragraphs>137</Paragraphs>
  <TotalTime>2</TotalTime>
  <ScaleCrop>false</ScaleCrop>
  <LinksUpToDate>false</LinksUpToDate>
  <CharactersWithSpaces>3017</CharactersWithSpaces>
  <Application>WPS Office_11.8.2.1119_F1E327BC-269C-435d-A152-05C5408002CA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2025-08-18T16:57:00Z</dcterms:created>
  <dc:creator>GaGa</dc:creator>
  <cp:lastModifiedBy>admin2</cp:lastModifiedBy>
  <dcterms:modified xsi:type="dcterms:W3CDTF">2025-08-22T14:48:12Z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2052-11.8.2.1119</vt:lpwstr>
  </property>
  <property fmtid="{D5CDD505-2E9C-101B-9397-08002B2CF9AE}" pid="3" name="ICV">
    <vt:lpwstr>01D0B30DD71A4434B4BB67A2E2E026F7</vt:lpwstr>
  </property>
</Properties>
</file>