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spacing w:beforeLines="100" w:after="240" w:afterLines="100"/>
        <w:rPr>
          <w:color w:val="auto"/>
          <w:sz w:val="36"/>
          <w:szCs w:val="36"/>
          <w:lang w:eastAsia="zh-CN"/>
        </w:rPr>
      </w:pPr>
      <w:r>
        <w:rPr>
          <w:color w:val="auto"/>
          <w:sz w:val="36"/>
          <w:szCs w:val="36"/>
          <w:lang w:eastAsia="zh-CN"/>
        </w:rPr>
        <w:t>治超不停车检测点数据</w:t>
      </w:r>
      <w:r>
        <w:rPr>
          <w:rFonts w:hint="eastAsia"/>
          <w:color w:val="auto"/>
          <w:sz w:val="36"/>
          <w:szCs w:val="36"/>
          <w:lang w:eastAsia="zh-CN"/>
        </w:rPr>
        <w:t>维护</w:t>
      </w:r>
      <w:r>
        <w:rPr>
          <w:color w:val="auto"/>
          <w:sz w:val="36"/>
          <w:szCs w:val="36"/>
          <w:lang w:eastAsia="zh-CN"/>
        </w:rPr>
        <w:t>服务</w:t>
      </w:r>
    </w:p>
    <w:p>
      <w:pPr>
        <w:pStyle w:val="16"/>
        <w:spacing w:beforeLines="100" w:after="240" w:afterLines="100"/>
        <w:rPr>
          <w:color w:val="auto"/>
          <w:sz w:val="36"/>
          <w:szCs w:val="36"/>
          <w:lang w:eastAsia="zh-CN"/>
        </w:rPr>
      </w:pPr>
      <w:r>
        <w:rPr>
          <w:color w:val="auto"/>
          <w:sz w:val="36"/>
          <w:szCs w:val="36"/>
          <w:lang w:eastAsia="zh-CN"/>
        </w:rPr>
        <w:t>采购需求</w:t>
      </w:r>
    </w:p>
    <w:p>
      <w:pPr>
        <w:widowControl/>
        <w:autoSpaceDE/>
        <w:autoSpaceDN/>
        <w:snapToGrid w:val="0"/>
        <w:spacing w:line="360" w:lineRule="auto"/>
        <w:ind w:firstLine="480" w:firstLineChars="200"/>
        <w:rPr>
          <w:rFonts w:hint="eastAsia" w:ascii="仿宋" w:hAnsi="仿宋" w:eastAsia="仿宋" w:cstheme="minorBidi"/>
          <w:bCs/>
          <w:color w:val="auto"/>
          <w:kern w:val="2"/>
          <w:sz w:val="24"/>
          <w:szCs w:val="24"/>
          <w:lang w:eastAsia="zh-CN"/>
        </w:rPr>
      </w:pP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根据武汉市政府采购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相关要求</w:t>
      </w: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，按照“科学、合理、准确”原则确定本项目采购需求。具体情况如下：</w:t>
      </w:r>
    </w:p>
    <w:p>
      <w:pPr>
        <w:pStyle w:val="16"/>
        <w:spacing w:beforeLines="100" w:after="240" w:afterLines="100"/>
        <w:ind w:firstLine="642" w:firstLineChars="200"/>
        <w:jc w:val="left"/>
        <w:rPr>
          <w:color w:val="auto"/>
          <w:kern w:val="2"/>
          <w:lang w:eastAsia="zh-CN"/>
        </w:rPr>
      </w:pPr>
      <w:bookmarkStart w:id="0" w:name="_Toc21451"/>
      <w:r>
        <w:rPr>
          <w:rFonts w:hint="eastAsia"/>
          <w:color w:val="auto"/>
          <w:kern w:val="2"/>
          <w:lang w:eastAsia="zh-CN"/>
        </w:rPr>
        <w:t>一、项目概况</w:t>
      </w:r>
      <w:bookmarkEnd w:id="0"/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（一）项目名称：治超不停车检测点数据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维护</w:t>
      </w: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服务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（二）采购预算：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10.609</w:t>
      </w: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万元，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资金来源为财政资金。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（三）品目：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其他运行维护服务（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C16079900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四</w:t>
      </w: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服务</w:t>
      </w: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期限：自合同签订之日起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12个月。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highlight w:val="yellow"/>
          <w:lang w:eastAsia="zh-CN"/>
        </w:rPr>
      </w:pP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（五）采购方式：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电子商城邀请竞价。</w:t>
      </w:r>
    </w:p>
    <w:p>
      <w:pPr>
        <w:pStyle w:val="16"/>
        <w:spacing w:beforeLines="100" w:after="240" w:afterLines="100"/>
        <w:ind w:firstLine="642" w:firstLineChars="200"/>
        <w:jc w:val="left"/>
        <w:rPr>
          <w:color w:val="auto"/>
          <w:kern w:val="2"/>
          <w:lang w:eastAsia="zh-CN"/>
        </w:rPr>
      </w:pPr>
      <w:bookmarkStart w:id="1" w:name="_Toc20239"/>
      <w:bookmarkStart w:id="2" w:name="_Toc12937"/>
      <w:r>
        <w:rPr>
          <w:rFonts w:hint="eastAsia"/>
          <w:color w:val="auto"/>
          <w:kern w:val="2"/>
          <w:lang w:eastAsia="zh-CN"/>
        </w:rPr>
        <w:t>二、</w:t>
      </w:r>
      <w:bookmarkEnd w:id="1"/>
      <w:r>
        <w:rPr>
          <w:rFonts w:hint="eastAsia"/>
          <w:color w:val="auto"/>
          <w:kern w:val="2"/>
          <w:lang w:eastAsia="zh-CN"/>
        </w:rPr>
        <w:t>服务内容</w:t>
      </w:r>
    </w:p>
    <w:p>
      <w:pPr>
        <w:widowControl/>
        <w:autoSpaceDE/>
        <w:autoSpaceDN/>
        <w:snapToGrid w:val="0"/>
        <w:spacing w:line="360" w:lineRule="auto"/>
        <w:ind w:firstLine="642" w:firstLineChars="200"/>
        <w:rPr>
          <w:rFonts w:hint="eastAsia" w:ascii="仿宋" w:hAnsi="仿宋" w:eastAsia="仿宋" w:cstheme="minorBidi"/>
          <w:b/>
          <w:bCs/>
          <w:color w:val="auto"/>
          <w:kern w:val="2"/>
          <w:sz w:val="32"/>
          <w:szCs w:val="32"/>
          <w:lang w:eastAsia="zh-CN"/>
        </w:rPr>
      </w:pPr>
      <w:bookmarkStart w:id="3" w:name="_Toc26631"/>
      <w:r>
        <w:rPr>
          <w:rFonts w:hint="eastAsia" w:ascii="仿宋" w:hAnsi="仿宋" w:eastAsia="仿宋" w:cstheme="minorBidi"/>
          <w:b/>
          <w:bCs/>
          <w:color w:val="auto"/>
          <w:kern w:val="2"/>
          <w:sz w:val="32"/>
          <w:szCs w:val="32"/>
          <w:lang w:eastAsia="zh-CN"/>
        </w:rPr>
        <w:t>（一）数据接入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1、持续采集各新城区功能区不停车检测点数据（包括既有33个点及新增点位）；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color w:val="auto"/>
          <w:kern w:val="2"/>
          <w:sz w:val="32"/>
          <w:szCs w:val="32"/>
          <w:lang w:eastAsia="zh-CN"/>
        </w:rPr>
        <w:t>2、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确保省、市、区三级平台接口程序的正常运行；</w:t>
      </w:r>
    </w:p>
    <w:p>
      <w:pPr>
        <w:widowControl/>
        <w:autoSpaceDE/>
        <w:autoSpaceDN/>
        <w:snapToGrid w:val="0"/>
        <w:spacing w:line="360" w:lineRule="auto"/>
        <w:ind w:firstLine="642" w:firstLineChars="200"/>
        <w:rPr>
          <w:rFonts w:hint="eastAsia" w:ascii="仿宋" w:hAnsi="仿宋" w:eastAsia="仿宋" w:cstheme="minorBidi"/>
          <w:b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/>
          <w:bCs/>
          <w:color w:val="auto"/>
          <w:kern w:val="2"/>
          <w:sz w:val="32"/>
          <w:szCs w:val="32"/>
          <w:lang w:eastAsia="zh-CN"/>
        </w:rPr>
        <w:t>（二）数据运维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3、确保既有33个不停车检测点数据</w:t>
      </w:r>
      <w:bookmarkStart w:id="5" w:name="_GoBack"/>
      <w:bookmarkEnd w:id="5"/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持续稳定传输至省治超平台；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4、确保省治超平台数据（固定治超检测站过车数据、执法案件数据）回流接入TOC平台；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5、既有33个不停车检测点位数据维护；</w:t>
      </w:r>
    </w:p>
    <w:tbl>
      <w:tblPr>
        <w:tblStyle w:val="2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6"/>
        <w:gridCol w:w="1634"/>
        <w:gridCol w:w="5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tblHeader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color w:val="auto"/>
                <w:kern w:val="2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958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行政区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color w:val="auto"/>
                <w:kern w:val="2"/>
                <w:sz w:val="28"/>
                <w:szCs w:val="28"/>
                <w:lang w:eastAsia="zh-CN"/>
              </w:rPr>
              <w:t>现有点位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958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长江新区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G347武湖不停车检测点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958" w:type="pct"/>
            <w:vMerge w:val="restart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黄陂区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S108木兰不停车检测点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G318东段不停车检测点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火塔线不停车检测点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横店治超站不停车检测点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958" w:type="pct"/>
            <w:vMerge w:val="restar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新洲区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问津大道不停车检测点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G230中石油新红加油站不停车检测点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8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星谷大道不停车检测点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9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S323柳明线不停车检测点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10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S118刘大线不停车检测点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11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G106三屋湾不停车检测点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12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S325夫宋线不停车检测点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13</w:t>
            </w:r>
          </w:p>
        </w:tc>
        <w:tc>
          <w:tcPr>
            <w:tcW w:w="958" w:type="pct"/>
            <w:vMerge w:val="restar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蔡甸区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中法友谊大桥不停车检测点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14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九康大道不停车检测点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15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星光大道不停车检测点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16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柏刘公路X088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17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琴川公路S109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18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蔡城公路S105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19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新天大道S104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20</w:t>
            </w:r>
          </w:p>
        </w:tc>
        <w:tc>
          <w:tcPr>
            <w:tcW w:w="958" w:type="pct"/>
            <w:vMerge w:val="restar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经开区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沪聂线不停车检测点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21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通顺大道（鸟语林段）不停车检测点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22</w:t>
            </w:r>
          </w:p>
        </w:tc>
        <w:tc>
          <w:tcPr>
            <w:tcW w:w="958" w:type="pct"/>
            <w:vMerge w:val="restar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江夏区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G107金龙高架桥南上行不停车检测点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23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G107金龙高架桥北下行不停车检测点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24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G107郑店高架桥北下行不停车检测点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25</w:t>
            </w:r>
          </w:p>
        </w:tc>
        <w:tc>
          <w:tcPr>
            <w:tcW w:w="958" w:type="pct"/>
            <w:vMerge w:val="restar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东西湖区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走马岭不停车检测点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26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snapToGrid w:val="0"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辛安渡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27</w:t>
            </w:r>
          </w:p>
        </w:tc>
        <w:tc>
          <w:tcPr>
            <w:tcW w:w="958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高新区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武黄大道不停车检测点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28</w:t>
            </w:r>
          </w:p>
        </w:tc>
        <w:tc>
          <w:tcPr>
            <w:tcW w:w="958" w:type="pct"/>
            <w:vMerge w:val="restar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高新区</w:t>
            </w: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花山大道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28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光谷三路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30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jc w:val="both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青王路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31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jc w:val="both"/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S101南环线（凤凰山）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32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jc w:val="both"/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S120凤莲大道蔡家湾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0" w:type="pct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theme="minorBidi"/>
                <w:bCs/>
                <w:color w:val="auto"/>
                <w:kern w:val="2"/>
                <w:sz w:val="28"/>
                <w:szCs w:val="28"/>
                <w:lang w:eastAsia="zh-CN"/>
              </w:rPr>
              <w:t>33</w:t>
            </w:r>
          </w:p>
        </w:tc>
        <w:tc>
          <w:tcPr>
            <w:tcW w:w="958" w:type="pct"/>
            <w:vMerge w:val="continue"/>
            <w:vAlign w:val="center"/>
          </w:tcPr>
          <w:p>
            <w:pPr>
              <w:widowControl/>
              <w:autoSpaceDE/>
              <w:autoSpaceDN/>
              <w:snapToGrid w:val="0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3352" w:type="pct"/>
            <w:vAlign w:val="center"/>
          </w:tcPr>
          <w:p>
            <w:pPr>
              <w:widowControl/>
              <w:autoSpaceDE/>
              <w:autoSpaceDN/>
              <w:jc w:val="both"/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  <w:lang w:eastAsia="zh-CN"/>
              </w:rPr>
              <w:t>高新八路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  <w:t>不停车检测点</w:t>
            </w:r>
          </w:p>
        </w:tc>
      </w:tr>
    </w:tbl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/>
          <w:color w:val="auto"/>
          <w:kern w:val="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6、省、市、区三级平台数据的核对。</w:t>
      </w:r>
      <w:bookmarkEnd w:id="3"/>
    </w:p>
    <w:p>
      <w:pPr>
        <w:pStyle w:val="16"/>
        <w:spacing w:beforeLines="100" w:after="240" w:afterLines="100"/>
        <w:ind w:firstLine="642" w:firstLineChars="200"/>
        <w:jc w:val="left"/>
        <w:rPr>
          <w:color w:val="auto"/>
          <w:kern w:val="2"/>
          <w:lang w:eastAsia="zh-CN"/>
        </w:rPr>
      </w:pPr>
      <w:r>
        <w:rPr>
          <w:rFonts w:hint="eastAsia"/>
          <w:color w:val="auto"/>
          <w:kern w:val="2"/>
          <w:lang w:eastAsia="zh-CN"/>
        </w:rPr>
        <w:t>二、</w:t>
      </w:r>
      <w:bookmarkEnd w:id="2"/>
      <w:r>
        <w:rPr>
          <w:rFonts w:hint="eastAsia"/>
          <w:color w:val="auto"/>
          <w:kern w:val="2"/>
          <w:lang w:eastAsia="zh-CN"/>
        </w:rPr>
        <w:t>服务要求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（一）通过技术咨询、电话服务、远程维护、现场服务等方式，提供技术响应与支持服务。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（二）</w:t>
      </w: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需提供2人组成的服务团队，提供5*8小时驻场技术支持与服务及7*24小时在线技术支持与服务，其中驻场技术人员1人，远程技术研发人员1名。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（三）7*24小时实时监测数据传输状态，一般问题4小时解决，重大问题8小时内解决。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（四）建立工作台账，提供月报、年报，年度服务工作结束后有总结报告和建议。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（五）</w:t>
      </w:r>
      <w:r>
        <w:rPr>
          <w:rFonts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日志收集、分析和备份，故障原因分析和系统进行性能评估。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（六）响应采购人提出的其他日常工作要求。</w:t>
      </w:r>
    </w:p>
    <w:p>
      <w:pPr>
        <w:pStyle w:val="16"/>
        <w:spacing w:beforeLines="100" w:after="240" w:afterLines="100"/>
        <w:ind w:firstLine="642" w:firstLineChars="200"/>
        <w:jc w:val="left"/>
        <w:rPr>
          <w:color w:val="auto"/>
          <w:kern w:val="2"/>
          <w:lang w:eastAsia="zh-CN"/>
        </w:rPr>
      </w:pPr>
      <w:bookmarkStart w:id="4" w:name="3.1.9其它要求"/>
      <w:bookmarkEnd w:id="4"/>
      <w:r>
        <w:rPr>
          <w:rFonts w:hint="eastAsia"/>
          <w:color w:val="auto"/>
          <w:kern w:val="2"/>
          <w:lang w:eastAsia="zh-CN"/>
        </w:rPr>
        <w:t>三、履约及验收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bCs/>
          <w:color w:val="auto"/>
          <w:kern w:val="2"/>
          <w:sz w:val="32"/>
          <w:szCs w:val="32"/>
          <w:lang w:eastAsia="zh-CN"/>
        </w:rPr>
        <w:t>供应商需按采购人各项要求建立服务工作台账，提供月报、总结报告等，报告内容包括日常巡检情况，存在问题及处置情况，系统完善建议等。服务期满后，供应商需提交服务工作台账，并通过采购人组织的审查，审查认定合格即为通过验收。</w:t>
      </w:r>
    </w:p>
    <w:sectPr>
      <w:footerReference r:id="rId3" w:type="default"/>
      <w:pgSz w:w="11910" w:h="16840"/>
      <w:pgMar w:top="1440" w:right="1800" w:bottom="1440" w:left="1800" w:header="0" w:footer="97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icrosoft JhengHei">
    <w:altName w:val="方正书宋_GBK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spacing w:line="14" w:lineRule="auto"/>
      <w:rPr>
        <w:rFonts w:hint="eastAsia"/>
        <w:sz w:val="20"/>
      </w:rPr>
    </w:pPr>
    <w:r>
      <w:rPr>
        <w:rFonts w:hint="eastAsia"/>
        <w:lang w:eastAsia="zh-CN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3700145</wp:posOffset>
              </wp:positionH>
              <wp:positionV relativeFrom="page">
                <wp:posOffset>9935845</wp:posOffset>
              </wp:positionV>
              <wp:extent cx="167005" cy="139700"/>
              <wp:effectExtent l="0" t="0" r="0" b="0"/>
              <wp:wrapNone/>
              <wp:docPr id="1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pacing w:line="203" w:lineRule="exact"/>
                            <w:ind w:left="40"/>
                            <w:rPr>
                              <w:rFonts w:hint="eastAsia" w:ascii="Calibri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5" o:spid="_x0000_s1026" o:spt="202" type="#_x0000_t202" style="position:absolute;left:0pt;margin-left:291.35pt;margin-top:782.35pt;height:11pt;width:13.15pt;mso-position-horizontal-relative:page;mso-position-vertical-relative:page;z-index:-251657216;mso-width-relative:page;mso-height-relative:page;" filled="f" stroked="f" coordsize="21600,21600" o:gfxdata="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line="203" w:lineRule="exact"/>
                      <w:ind w:left="40"/>
                      <w:rPr>
                        <w:rFonts w:hint="eastAsia" w:ascii="Calibri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sz w:val="18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noPunctuationKerning w:val="1"/>
  <w:characterSpacingControl w:val="doNotCompress"/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QxM2U0NzRlNGU4NzRlYzVhMDhjZjM0MTBjNDA1ZjEifQ=="/>
  </w:docVars>
  <w:rsids>
    <w:rsidRoot w:val="00B11010"/>
    <w:rsid w:val="00027410"/>
    <w:rsid w:val="00043199"/>
    <w:rsid w:val="00047944"/>
    <w:rsid w:val="000535DE"/>
    <w:rsid w:val="00076DA6"/>
    <w:rsid w:val="000B4833"/>
    <w:rsid w:val="000B5429"/>
    <w:rsid w:val="000C7809"/>
    <w:rsid w:val="000D0F99"/>
    <w:rsid w:val="00115DD7"/>
    <w:rsid w:val="00133B32"/>
    <w:rsid w:val="0016323D"/>
    <w:rsid w:val="00175658"/>
    <w:rsid w:val="00187AEC"/>
    <w:rsid w:val="00195AF1"/>
    <w:rsid w:val="001A034A"/>
    <w:rsid w:val="001A218F"/>
    <w:rsid w:val="001A46BE"/>
    <w:rsid w:val="001B57A3"/>
    <w:rsid w:val="001F3D79"/>
    <w:rsid w:val="00217035"/>
    <w:rsid w:val="00220E67"/>
    <w:rsid w:val="00235607"/>
    <w:rsid w:val="00235758"/>
    <w:rsid w:val="00241841"/>
    <w:rsid w:val="002529CA"/>
    <w:rsid w:val="00274248"/>
    <w:rsid w:val="002D233F"/>
    <w:rsid w:val="002D4B06"/>
    <w:rsid w:val="002F6928"/>
    <w:rsid w:val="00305BC5"/>
    <w:rsid w:val="003141EF"/>
    <w:rsid w:val="0033322D"/>
    <w:rsid w:val="00342E50"/>
    <w:rsid w:val="00350F15"/>
    <w:rsid w:val="00354F01"/>
    <w:rsid w:val="00355EE9"/>
    <w:rsid w:val="00361BAC"/>
    <w:rsid w:val="00367DE1"/>
    <w:rsid w:val="00395330"/>
    <w:rsid w:val="003F0296"/>
    <w:rsid w:val="003F55D9"/>
    <w:rsid w:val="00444BA2"/>
    <w:rsid w:val="004B7AFA"/>
    <w:rsid w:val="004F4E27"/>
    <w:rsid w:val="004F6612"/>
    <w:rsid w:val="00513D92"/>
    <w:rsid w:val="00536F4D"/>
    <w:rsid w:val="00561ACE"/>
    <w:rsid w:val="005648DA"/>
    <w:rsid w:val="00573EAE"/>
    <w:rsid w:val="00582DA8"/>
    <w:rsid w:val="00594930"/>
    <w:rsid w:val="005A47BF"/>
    <w:rsid w:val="00616D90"/>
    <w:rsid w:val="00630130"/>
    <w:rsid w:val="00632156"/>
    <w:rsid w:val="006328E8"/>
    <w:rsid w:val="006342D3"/>
    <w:rsid w:val="0065116A"/>
    <w:rsid w:val="00663F8C"/>
    <w:rsid w:val="006814A8"/>
    <w:rsid w:val="006C705B"/>
    <w:rsid w:val="006D05B8"/>
    <w:rsid w:val="006E4CB5"/>
    <w:rsid w:val="006F38B8"/>
    <w:rsid w:val="006F4DFE"/>
    <w:rsid w:val="00712792"/>
    <w:rsid w:val="00715F8D"/>
    <w:rsid w:val="00721425"/>
    <w:rsid w:val="007601DA"/>
    <w:rsid w:val="007605EB"/>
    <w:rsid w:val="00761B27"/>
    <w:rsid w:val="00763DA9"/>
    <w:rsid w:val="00782BB4"/>
    <w:rsid w:val="00796EFB"/>
    <w:rsid w:val="0079780D"/>
    <w:rsid w:val="007979C0"/>
    <w:rsid w:val="007B286D"/>
    <w:rsid w:val="007E60AA"/>
    <w:rsid w:val="00806C0A"/>
    <w:rsid w:val="00814B7E"/>
    <w:rsid w:val="008257E9"/>
    <w:rsid w:val="00837B8C"/>
    <w:rsid w:val="00874D52"/>
    <w:rsid w:val="00875F9A"/>
    <w:rsid w:val="008839DE"/>
    <w:rsid w:val="008B2DAC"/>
    <w:rsid w:val="009007AD"/>
    <w:rsid w:val="009167D8"/>
    <w:rsid w:val="00971D34"/>
    <w:rsid w:val="00973B4B"/>
    <w:rsid w:val="00986915"/>
    <w:rsid w:val="009A7B7B"/>
    <w:rsid w:val="009A7D3B"/>
    <w:rsid w:val="009B0BC5"/>
    <w:rsid w:val="009B5642"/>
    <w:rsid w:val="009C7C3C"/>
    <w:rsid w:val="009D2D1E"/>
    <w:rsid w:val="00A07D5E"/>
    <w:rsid w:val="00A11225"/>
    <w:rsid w:val="00A42208"/>
    <w:rsid w:val="00A545A0"/>
    <w:rsid w:val="00A56143"/>
    <w:rsid w:val="00A63CAD"/>
    <w:rsid w:val="00A97420"/>
    <w:rsid w:val="00AA5792"/>
    <w:rsid w:val="00AB3705"/>
    <w:rsid w:val="00AC55F3"/>
    <w:rsid w:val="00B01DF4"/>
    <w:rsid w:val="00B11010"/>
    <w:rsid w:val="00B15B78"/>
    <w:rsid w:val="00B2479D"/>
    <w:rsid w:val="00B43B7B"/>
    <w:rsid w:val="00B6279C"/>
    <w:rsid w:val="00B6387A"/>
    <w:rsid w:val="00BD2925"/>
    <w:rsid w:val="00BF7FF0"/>
    <w:rsid w:val="00C175E8"/>
    <w:rsid w:val="00CB6F75"/>
    <w:rsid w:val="00CD4037"/>
    <w:rsid w:val="00CE3267"/>
    <w:rsid w:val="00D04393"/>
    <w:rsid w:val="00D054C2"/>
    <w:rsid w:val="00D11480"/>
    <w:rsid w:val="00D40CC8"/>
    <w:rsid w:val="00D74B79"/>
    <w:rsid w:val="00D92068"/>
    <w:rsid w:val="00DC1105"/>
    <w:rsid w:val="00DC685D"/>
    <w:rsid w:val="00DD3F9E"/>
    <w:rsid w:val="00DE7BBB"/>
    <w:rsid w:val="00E07933"/>
    <w:rsid w:val="00E26155"/>
    <w:rsid w:val="00E40447"/>
    <w:rsid w:val="00E644D6"/>
    <w:rsid w:val="00E952EB"/>
    <w:rsid w:val="00EA60D2"/>
    <w:rsid w:val="00EC0F2F"/>
    <w:rsid w:val="00EC3A5D"/>
    <w:rsid w:val="00EC4EDA"/>
    <w:rsid w:val="00EE4C1B"/>
    <w:rsid w:val="00F57B69"/>
    <w:rsid w:val="00F66795"/>
    <w:rsid w:val="00F86FD0"/>
    <w:rsid w:val="00FA5287"/>
    <w:rsid w:val="00FB22BF"/>
    <w:rsid w:val="00FC765B"/>
    <w:rsid w:val="00FE5438"/>
    <w:rsid w:val="00FF75F4"/>
    <w:rsid w:val="010345F3"/>
    <w:rsid w:val="084D7A92"/>
    <w:rsid w:val="08DE0A5D"/>
    <w:rsid w:val="094D0E07"/>
    <w:rsid w:val="09B96D9F"/>
    <w:rsid w:val="0C68407E"/>
    <w:rsid w:val="0C6F00E5"/>
    <w:rsid w:val="0EB51830"/>
    <w:rsid w:val="0F474192"/>
    <w:rsid w:val="13E06287"/>
    <w:rsid w:val="15980EE7"/>
    <w:rsid w:val="1BB55B36"/>
    <w:rsid w:val="1BF469E5"/>
    <w:rsid w:val="209001B3"/>
    <w:rsid w:val="213600E4"/>
    <w:rsid w:val="222A16CC"/>
    <w:rsid w:val="23263563"/>
    <w:rsid w:val="23406A31"/>
    <w:rsid w:val="25A43B0D"/>
    <w:rsid w:val="25F6781D"/>
    <w:rsid w:val="260F4C7B"/>
    <w:rsid w:val="262D7218"/>
    <w:rsid w:val="28514C25"/>
    <w:rsid w:val="2A4346E5"/>
    <w:rsid w:val="2AA241F3"/>
    <w:rsid w:val="2AFF27C0"/>
    <w:rsid w:val="2BCE3434"/>
    <w:rsid w:val="2C5E18C3"/>
    <w:rsid w:val="2F1A2F0E"/>
    <w:rsid w:val="30302FEA"/>
    <w:rsid w:val="3060343F"/>
    <w:rsid w:val="30F81AE7"/>
    <w:rsid w:val="31536C92"/>
    <w:rsid w:val="31813A18"/>
    <w:rsid w:val="32456CE3"/>
    <w:rsid w:val="34E428BF"/>
    <w:rsid w:val="379D77DA"/>
    <w:rsid w:val="383D434F"/>
    <w:rsid w:val="3A8C1C1D"/>
    <w:rsid w:val="3F694614"/>
    <w:rsid w:val="473C470C"/>
    <w:rsid w:val="47B725D4"/>
    <w:rsid w:val="48C5538C"/>
    <w:rsid w:val="48D539BD"/>
    <w:rsid w:val="49746212"/>
    <w:rsid w:val="49E14D2D"/>
    <w:rsid w:val="4BE65F93"/>
    <w:rsid w:val="4C6877C9"/>
    <w:rsid w:val="4F423E67"/>
    <w:rsid w:val="53476364"/>
    <w:rsid w:val="53DC1BA3"/>
    <w:rsid w:val="559E11FD"/>
    <w:rsid w:val="58A3523B"/>
    <w:rsid w:val="59485D5D"/>
    <w:rsid w:val="5C7E7888"/>
    <w:rsid w:val="5DC86C5D"/>
    <w:rsid w:val="5FD45D3C"/>
    <w:rsid w:val="65F53097"/>
    <w:rsid w:val="6778532C"/>
    <w:rsid w:val="6A3951A4"/>
    <w:rsid w:val="6DB02792"/>
    <w:rsid w:val="6E7E392B"/>
    <w:rsid w:val="70495951"/>
    <w:rsid w:val="74903BE4"/>
    <w:rsid w:val="76D17233"/>
    <w:rsid w:val="7799562E"/>
    <w:rsid w:val="7D1C1B12"/>
    <w:rsid w:val="7DA85E5B"/>
    <w:rsid w:val="7DE6E8C5"/>
    <w:rsid w:val="97791068"/>
    <w:rsid w:val="DBDECA76"/>
    <w:rsid w:val="DFEFA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qFormat/>
    <w:uiPriority w:val="9"/>
    <w:pPr>
      <w:spacing w:before="240" w:after="240" w:line="507" w:lineRule="exact"/>
      <w:ind w:left="1037" w:hanging="564"/>
      <w:outlineLvl w:val="0"/>
    </w:pPr>
    <w:rPr>
      <w:rFonts w:ascii="Microsoft JhengHei" w:hAnsi="Microsoft JhengHei" w:cs="Microsoft JhengHei"/>
      <w:bCs/>
      <w:sz w:val="32"/>
      <w:szCs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Arial" w:hAnsi="Arial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380" w:after="380" w:line="413" w:lineRule="auto"/>
      <w:jc w:val="center"/>
      <w:outlineLvl w:val="2"/>
    </w:pPr>
    <w:rPr>
      <w:sz w:val="30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jc w:val="center"/>
      <w:outlineLvl w:val="3"/>
    </w:pPr>
    <w:rPr>
      <w:rFonts w:ascii="Arial" w:hAnsi="Arial" w:eastAsia="黑体"/>
      <w:sz w:val="28"/>
    </w:rPr>
  </w:style>
  <w:style w:type="character" w:default="1" w:styleId="21">
    <w:name w:val="Default Paragraph Font"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3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text"/>
    <w:basedOn w:val="1"/>
    <w:link w:val="37"/>
    <w:qFormat/>
    <w:uiPriority w:val="0"/>
  </w:style>
  <w:style w:type="paragraph" w:styleId="8">
    <w:name w:val="Body Text"/>
    <w:basedOn w:val="1"/>
    <w:link w:val="28"/>
    <w:qFormat/>
    <w:uiPriority w:val="1"/>
    <w:pPr>
      <w:spacing w:line="360" w:lineRule="auto"/>
    </w:pPr>
    <w:rPr>
      <w:sz w:val="30"/>
      <w:szCs w:val="32"/>
    </w:rPr>
  </w:style>
  <w:style w:type="paragraph" w:styleId="9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10">
    <w:name w:val="toc 3"/>
    <w:basedOn w:val="1"/>
    <w:next w:val="1"/>
    <w:qFormat/>
    <w:uiPriority w:val="0"/>
    <w:pPr>
      <w:ind w:left="840" w:leftChars="400"/>
    </w:pPr>
  </w:style>
  <w:style w:type="paragraph" w:styleId="11">
    <w:name w:val="Balloon Text"/>
    <w:basedOn w:val="1"/>
    <w:link w:val="32"/>
    <w:qFormat/>
    <w:uiPriority w:val="0"/>
    <w:rPr>
      <w:sz w:val="18"/>
      <w:szCs w:val="18"/>
    </w:rPr>
  </w:style>
  <w:style w:type="paragraph" w:styleId="12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toc 1"/>
    <w:basedOn w:val="1"/>
    <w:next w:val="1"/>
    <w:qFormat/>
    <w:uiPriority w:val="0"/>
  </w:style>
  <w:style w:type="paragraph" w:styleId="14">
    <w:name w:val="toc 2"/>
    <w:basedOn w:val="1"/>
    <w:next w:val="1"/>
    <w:qFormat/>
    <w:uiPriority w:val="0"/>
    <w:pPr>
      <w:ind w:left="420" w:leftChars="200"/>
    </w:pPr>
  </w:style>
  <w:style w:type="paragraph" w:styleId="15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  <w:lang w:eastAsia="zh-CN"/>
    </w:rPr>
  </w:style>
  <w:style w:type="paragraph" w:styleId="16">
    <w:name w:val="Title"/>
    <w:basedOn w:val="1"/>
    <w:next w:val="1"/>
    <w:link w:val="35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17">
    <w:name w:val="annotation subject"/>
    <w:basedOn w:val="7"/>
    <w:next w:val="7"/>
    <w:link w:val="38"/>
    <w:qFormat/>
    <w:uiPriority w:val="0"/>
    <w:rPr>
      <w:b/>
      <w:bCs/>
    </w:rPr>
  </w:style>
  <w:style w:type="paragraph" w:styleId="18">
    <w:name w:val="Body Text First Indent 2"/>
    <w:basedOn w:val="9"/>
    <w:unhideWhenUsed/>
    <w:qFormat/>
    <w:uiPriority w:val="99"/>
    <w:pPr>
      <w:spacing w:after="0" w:line="500" w:lineRule="exact"/>
      <w:ind w:left="0" w:leftChars="0" w:firstLine="420" w:firstLineChars="200"/>
    </w:pPr>
    <w:rPr>
      <w:sz w:val="28"/>
      <w:szCs w:val="28"/>
    </w:rPr>
  </w:style>
  <w:style w:type="table" w:styleId="20">
    <w:name w:val="Table Grid"/>
    <w:basedOn w:val="19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FollowedHyperlink"/>
    <w:basedOn w:val="21"/>
    <w:qFormat/>
    <w:uiPriority w:val="0"/>
    <w:rPr>
      <w:color w:val="000000"/>
      <w:u w:val="none"/>
    </w:rPr>
  </w:style>
  <w:style w:type="character" w:styleId="23">
    <w:name w:val="Hyperlink"/>
    <w:basedOn w:val="21"/>
    <w:qFormat/>
    <w:uiPriority w:val="0"/>
    <w:rPr>
      <w:color w:val="296EBB"/>
      <w:u w:val="none"/>
    </w:rPr>
  </w:style>
  <w:style w:type="character" w:styleId="24">
    <w:name w:val="annotation reference"/>
    <w:basedOn w:val="21"/>
    <w:qFormat/>
    <w:uiPriority w:val="0"/>
    <w:rPr>
      <w:sz w:val="21"/>
      <w:szCs w:val="21"/>
    </w:rPr>
  </w:style>
  <w:style w:type="table" w:customStyle="1" w:styleId="2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6">
    <w:name w:val="List Paragraph"/>
    <w:basedOn w:val="1"/>
    <w:qFormat/>
    <w:uiPriority w:val="34"/>
    <w:pPr>
      <w:ind w:left="1548" w:hanging="321"/>
    </w:pPr>
  </w:style>
  <w:style w:type="paragraph" w:customStyle="1" w:styleId="27">
    <w:name w:val="Table Paragraph"/>
    <w:basedOn w:val="1"/>
    <w:qFormat/>
    <w:uiPriority w:val="1"/>
  </w:style>
  <w:style w:type="character" w:customStyle="1" w:styleId="28">
    <w:name w:val="正文文本 字符"/>
    <w:link w:val="8"/>
    <w:qFormat/>
    <w:uiPriority w:val="1"/>
    <w:rPr>
      <w:sz w:val="30"/>
      <w:szCs w:val="32"/>
    </w:rPr>
  </w:style>
  <w:style w:type="paragraph" w:customStyle="1" w:styleId="29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30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1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32">
    <w:name w:val="批注框文本 字符"/>
    <w:basedOn w:val="21"/>
    <w:link w:val="11"/>
    <w:qFormat/>
    <w:uiPriority w:val="0"/>
    <w:rPr>
      <w:rFonts w:ascii="宋体" w:hAnsi="宋体" w:cs="宋体"/>
      <w:sz w:val="18"/>
      <w:szCs w:val="18"/>
      <w:lang w:eastAsia="en-US"/>
    </w:rPr>
  </w:style>
  <w:style w:type="character" w:customStyle="1" w:styleId="33">
    <w:name w:val="页眉 字符"/>
    <w:basedOn w:val="21"/>
    <w:link w:val="2"/>
    <w:qFormat/>
    <w:uiPriority w:val="0"/>
    <w:rPr>
      <w:rFonts w:ascii="宋体" w:hAnsi="宋体" w:cs="宋体"/>
      <w:sz w:val="18"/>
      <w:szCs w:val="18"/>
      <w:lang w:eastAsia="en-US"/>
    </w:rPr>
  </w:style>
  <w:style w:type="character" w:customStyle="1" w:styleId="34">
    <w:name w:val="页脚 字符"/>
    <w:basedOn w:val="21"/>
    <w:link w:val="12"/>
    <w:qFormat/>
    <w:uiPriority w:val="0"/>
    <w:rPr>
      <w:rFonts w:ascii="宋体" w:hAnsi="宋体" w:cs="宋体"/>
      <w:sz w:val="18"/>
      <w:szCs w:val="18"/>
      <w:lang w:eastAsia="en-US"/>
    </w:rPr>
  </w:style>
  <w:style w:type="character" w:customStyle="1" w:styleId="35">
    <w:name w:val="标题 字符"/>
    <w:basedOn w:val="21"/>
    <w:link w:val="16"/>
    <w:qFormat/>
    <w:uiPriority w:val="0"/>
    <w:rPr>
      <w:rFonts w:asciiTheme="majorHAnsi" w:hAnsiTheme="majorHAnsi" w:cstheme="majorBidi"/>
      <w:b/>
      <w:bCs/>
      <w:sz w:val="32"/>
      <w:szCs w:val="32"/>
      <w:lang w:eastAsia="en-US"/>
    </w:rPr>
  </w:style>
  <w:style w:type="table" w:customStyle="1" w:styleId="36">
    <w:name w:val="网格型1"/>
    <w:basedOn w:val="19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7">
    <w:name w:val="批注文字 字符"/>
    <w:basedOn w:val="21"/>
    <w:link w:val="7"/>
    <w:qFormat/>
    <w:uiPriority w:val="0"/>
    <w:rPr>
      <w:rFonts w:ascii="宋体" w:hAnsi="宋体" w:cs="宋体"/>
      <w:sz w:val="22"/>
      <w:szCs w:val="22"/>
      <w:lang w:eastAsia="en-US"/>
    </w:rPr>
  </w:style>
  <w:style w:type="character" w:customStyle="1" w:styleId="38">
    <w:name w:val="批注主题 字符"/>
    <w:basedOn w:val="37"/>
    <w:link w:val="17"/>
    <w:qFormat/>
    <w:uiPriority w:val="0"/>
    <w:rPr>
      <w:rFonts w:ascii="宋体" w:hAnsi="宋体" w:cs="宋体"/>
      <w:b/>
      <w:bCs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223</Words>
  <Characters>1275</Characters>
  <Lines>10</Lines>
  <Paragraphs>2</Paragraphs>
  <TotalTime>3</TotalTime>
  <ScaleCrop>false</ScaleCrop>
  <LinksUpToDate>false</LinksUpToDate>
  <CharactersWithSpaces>1496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2026-04-27T22:20:00Z</dcterms:created>
  <dc:creator>fg</dc:creator>
  <cp:lastModifiedBy>uos</cp:lastModifiedBy>
  <cp:lastPrinted>2023-08-19T09:05:00Z</cp:lastPrinted>
  <dcterms:modified xsi:type="dcterms:W3CDTF">2026-05-20T11:03:31Z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2021-09-26T00:00:00Z</vt:filetime>
  </property>
  <property fmtid="{D5CDD505-2E9C-101B-9397-08002B2CF9AE}" pid="5" name="KSOProductBuildVer">
    <vt:lpwstr>2052-11.8.2.11625</vt:lpwstr>
  </property>
  <property fmtid="{D5CDD505-2E9C-101B-9397-08002B2CF9AE}" pid="6" name="ICV">
    <vt:lpwstr>7A2676B1533846C48E74ACA80868507A_13</vt:lpwstr>
  </property>
</Properties>
</file>