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BCDFCB">
      <w:pPr>
        <w:pStyle w:val="2"/>
        <w:ind w:left="420" w:hanging="420"/>
        <w:rPr>
          <w:rFonts w:hint="eastAsia"/>
          <w:highlight w:val="red"/>
        </w:rPr>
      </w:pPr>
      <w:bookmarkStart w:id="0" w:name="_Toc15439"/>
      <w:bookmarkStart w:id="1" w:name="_Toc15964"/>
      <w:bookmarkStart w:id="2" w:name="_Toc31754"/>
      <w:r>
        <w:rPr>
          <w:rFonts w:hint="eastAsia"/>
          <w:highlight w:val="none"/>
        </w:rPr>
        <w:t>第三章 项目采购需求</w:t>
      </w:r>
      <w:bookmarkEnd w:id="0"/>
      <w:bookmarkEnd w:id="1"/>
      <w:bookmarkEnd w:id="2"/>
    </w:p>
    <w:p w14:paraId="7D3A1B21">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8"/>
          <w:lang w:val="zh-CN"/>
        </w:rPr>
      </w:pPr>
      <w:bookmarkStart w:id="3" w:name="_Toc11007"/>
      <w:bookmarkStart w:id="4" w:name="_Toc20349"/>
      <w:r>
        <w:rPr>
          <w:rFonts w:hint="eastAsia" w:ascii="黑体" w:hAnsi="黑体" w:eastAsia="黑体" w:cs="黑体"/>
          <w:b w:val="0"/>
          <w:sz w:val="28"/>
          <w:szCs w:val="28"/>
        </w:rPr>
        <w:t>一</w:t>
      </w:r>
      <w:r>
        <w:rPr>
          <w:rFonts w:hint="eastAsia" w:ascii="黑体" w:hAnsi="黑体" w:eastAsia="黑体" w:cs="黑体"/>
          <w:b w:val="0"/>
          <w:sz w:val="28"/>
          <w:szCs w:val="28"/>
          <w:lang w:val="zh-CN"/>
        </w:rPr>
        <w:t>、</w:t>
      </w:r>
      <w:r>
        <w:rPr>
          <w:rFonts w:hint="eastAsia" w:ascii="黑体" w:hAnsi="黑体" w:eastAsia="黑体" w:cs="黑体"/>
          <w:b w:val="0"/>
          <w:sz w:val="28"/>
          <w:szCs w:val="28"/>
        </w:rPr>
        <w:t>采购清单</w:t>
      </w:r>
      <w:bookmarkEnd w:id="3"/>
      <w:bookmarkEnd w:id="4"/>
    </w:p>
    <w:tbl>
      <w:tblPr>
        <w:tblStyle w:val="4"/>
        <w:tblW w:w="8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1931"/>
        <w:gridCol w:w="918"/>
        <w:gridCol w:w="942"/>
        <w:gridCol w:w="860"/>
        <w:gridCol w:w="3063"/>
      </w:tblGrid>
      <w:tr w14:paraId="14ED1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798" w:type="dxa"/>
            <w:shd w:val="clear" w:color="auto" w:fill="auto"/>
            <w:vAlign w:val="center"/>
          </w:tcPr>
          <w:p w14:paraId="21DF9E40">
            <w:pPr>
              <w:pStyle w:val="6"/>
              <w:adjustRightInd w:val="0"/>
              <w:snapToGrid w:val="0"/>
              <w:jc w:val="center"/>
              <w:rPr>
                <w:rFonts w:hint="eastAsia" w:ascii="仿宋" w:hAnsi="仿宋" w:eastAsia="仿宋" w:cs="仿宋"/>
                <w:b/>
                <w:bCs/>
                <w:sz w:val="28"/>
                <w:szCs w:val="28"/>
              </w:rPr>
            </w:pPr>
            <w:bookmarkStart w:id="5" w:name="_Toc339378680"/>
            <w:bookmarkStart w:id="6" w:name="_Toc338065594"/>
            <w:r>
              <w:rPr>
                <w:rFonts w:hint="eastAsia" w:ascii="仿宋" w:hAnsi="仿宋" w:eastAsia="仿宋" w:cs="仿宋"/>
                <w:b/>
                <w:bCs/>
                <w:sz w:val="28"/>
                <w:szCs w:val="28"/>
              </w:rPr>
              <w:t>序号</w:t>
            </w:r>
          </w:p>
        </w:tc>
        <w:tc>
          <w:tcPr>
            <w:tcW w:w="1931" w:type="dxa"/>
            <w:shd w:val="clear" w:color="auto" w:fill="auto"/>
            <w:vAlign w:val="center"/>
          </w:tcPr>
          <w:p w14:paraId="7F55EA2C">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采购标的名称</w:t>
            </w:r>
          </w:p>
        </w:tc>
        <w:tc>
          <w:tcPr>
            <w:tcW w:w="918" w:type="dxa"/>
            <w:shd w:val="clear" w:color="auto" w:fill="auto"/>
            <w:vAlign w:val="center"/>
          </w:tcPr>
          <w:p w14:paraId="0D3E1BC7">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数量</w:t>
            </w:r>
          </w:p>
        </w:tc>
        <w:tc>
          <w:tcPr>
            <w:tcW w:w="942" w:type="dxa"/>
            <w:shd w:val="clear" w:color="auto" w:fill="auto"/>
            <w:vAlign w:val="center"/>
          </w:tcPr>
          <w:p w14:paraId="00A27892">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单位</w:t>
            </w:r>
          </w:p>
        </w:tc>
        <w:tc>
          <w:tcPr>
            <w:tcW w:w="860" w:type="dxa"/>
            <w:vAlign w:val="center"/>
          </w:tcPr>
          <w:p w14:paraId="0F3774F3">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所属行业</w:t>
            </w:r>
          </w:p>
        </w:tc>
        <w:tc>
          <w:tcPr>
            <w:tcW w:w="3063" w:type="dxa"/>
            <w:shd w:val="clear" w:color="auto" w:fill="auto"/>
            <w:vAlign w:val="center"/>
          </w:tcPr>
          <w:p w14:paraId="3C789FCF">
            <w:pPr>
              <w:pStyle w:val="6"/>
              <w:adjustRightInd w:val="0"/>
              <w:snapToGrid w:val="0"/>
              <w:jc w:val="center"/>
              <w:rPr>
                <w:rFonts w:hint="eastAsia" w:ascii="仿宋" w:hAnsi="仿宋" w:eastAsia="仿宋" w:cs="仿宋"/>
                <w:b/>
                <w:bCs/>
                <w:sz w:val="28"/>
                <w:szCs w:val="28"/>
              </w:rPr>
            </w:pPr>
            <w:r>
              <w:rPr>
                <w:rFonts w:hint="eastAsia" w:ascii="仿宋" w:hAnsi="仿宋" w:eastAsia="仿宋" w:cs="仿宋"/>
                <w:b/>
                <w:bCs/>
                <w:sz w:val="28"/>
                <w:szCs w:val="28"/>
              </w:rPr>
              <w:t>要求/备注</w:t>
            </w:r>
          </w:p>
        </w:tc>
      </w:tr>
      <w:tr w14:paraId="374D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98" w:type="dxa"/>
            <w:vAlign w:val="center"/>
          </w:tcPr>
          <w:p w14:paraId="201F7B0A">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c>
          <w:tcPr>
            <w:tcW w:w="1931" w:type="dxa"/>
            <w:vAlign w:val="center"/>
          </w:tcPr>
          <w:p w14:paraId="39DE7B71">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lang w:val="en-US" w:eastAsia="zh-CN"/>
              </w:rPr>
              <w:t>2024、2025年批后核查</w:t>
            </w:r>
            <w:r>
              <w:rPr>
                <w:rFonts w:hint="eastAsia" w:ascii="仿宋" w:hAnsi="仿宋" w:eastAsia="仿宋" w:cs="仿宋"/>
                <w:sz w:val="28"/>
                <w:szCs w:val="28"/>
              </w:rPr>
              <w:t>工作经费</w:t>
            </w:r>
          </w:p>
        </w:tc>
        <w:tc>
          <w:tcPr>
            <w:tcW w:w="918" w:type="dxa"/>
            <w:vAlign w:val="center"/>
          </w:tcPr>
          <w:p w14:paraId="1A69C994">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c>
          <w:tcPr>
            <w:tcW w:w="942" w:type="dxa"/>
            <w:vAlign w:val="center"/>
          </w:tcPr>
          <w:p w14:paraId="2A7DC791">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rPr>
              <w:t>项</w:t>
            </w:r>
          </w:p>
        </w:tc>
        <w:tc>
          <w:tcPr>
            <w:tcW w:w="860" w:type="dxa"/>
            <w:vAlign w:val="center"/>
          </w:tcPr>
          <w:p w14:paraId="03A53FFE">
            <w:pPr>
              <w:pStyle w:val="6"/>
              <w:adjustRightInd w:val="0"/>
              <w:snapToGrid w:val="0"/>
              <w:spacing w:line="360" w:lineRule="auto"/>
              <w:jc w:val="center"/>
              <w:rPr>
                <w:rFonts w:hint="eastAsia" w:ascii="仿宋" w:hAnsi="仿宋" w:eastAsia="仿宋" w:cs="仿宋"/>
                <w:sz w:val="28"/>
                <w:szCs w:val="28"/>
              </w:rPr>
            </w:pPr>
            <w:r>
              <w:rPr>
                <w:rFonts w:hint="eastAsia" w:ascii="仿宋" w:hAnsi="仿宋" w:eastAsia="仿宋" w:cs="仿宋"/>
                <w:sz w:val="28"/>
                <w:szCs w:val="28"/>
              </w:rPr>
              <w:t>其他未列明行业</w:t>
            </w:r>
          </w:p>
        </w:tc>
        <w:tc>
          <w:tcPr>
            <w:tcW w:w="3063" w:type="dxa"/>
            <w:vAlign w:val="center"/>
          </w:tcPr>
          <w:p w14:paraId="51C86AA0">
            <w:pPr>
              <w:pStyle w:val="6"/>
              <w:adjustRightInd w:val="0"/>
              <w:snapToGrid w:val="0"/>
              <w:spacing w:line="360" w:lineRule="auto"/>
              <w:jc w:val="both"/>
              <w:rPr>
                <w:rFonts w:hint="eastAsia" w:ascii="仿宋" w:hAnsi="仿宋" w:eastAsia="仿宋" w:cs="仿宋"/>
                <w:sz w:val="28"/>
                <w:szCs w:val="28"/>
              </w:rPr>
            </w:pPr>
            <w:r>
              <w:rPr>
                <w:rFonts w:hint="eastAsia" w:ascii="仿宋" w:hAnsi="仿宋" w:eastAsia="仿宋" w:cs="仿宋"/>
                <w:sz w:val="28"/>
                <w:szCs w:val="28"/>
                <w:lang w:val="hr-HR"/>
              </w:rPr>
              <w:t>自核发工规证后至核发规划条件核实证明止，围绕放线、验线、标准层、结构封顶阶段，通过无人机日常监测和人工重要节点监测相结合，形成核查结果并录入批后核查时空地理信息系统。</w:t>
            </w:r>
          </w:p>
        </w:tc>
      </w:tr>
      <w:bookmarkEnd w:id="5"/>
      <w:bookmarkEnd w:id="6"/>
    </w:tbl>
    <w:p w14:paraId="7DD05C83">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8"/>
          <w:lang w:val="zh-CN"/>
        </w:rPr>
      </w:pPr>
      <w:bookmarkStart w:id="7" w:name="_Toc11838"/>
      <w:bookmarkStart w:id="8" w:name="_Toc2340"/>
      <w:r>
        <w:rPr>
          <w:rFonts w:hint="eastAsia" w:ascii="黑体" w:hAnsi="黑体" w:eastAsia="黑体" w:cs="黑体"/>
          <w:b w:val="0"/>
          <w:sz w:val="28"/>
          <w:szCs w:val="28"/>
        </w:rPr>
        <w:t>二、</w:t>
      </w:r>
      <w:bookmarkEnd w:id="7"/>
      <w:r>
        <w:rPr>
          <w:rFonts w:hint="eastAsia" w:ascii="黑体" w:hAnsi="黑体" w:eastAsia="黑体" w:cs="黑体"/>
          <w:b w:val="0"/>
          <w:sz w:val="28"/>
          <w:szCs w:val="28"/>
        </w:rPr>
        <w:t>项目背景</w:t>
      </w:r>
      <w:bookmarkEnd w:id="8"/>
    </w:p>
    <w:p w14:paraId="797FCCCD">
      <w:pPr>
        <w:ind w:firstLine="560" w:firstLineChars="200"/>
        <w:jc w:val="both"/>
        <w:rPr>
          <w:rFonts w:hint="eastAsia"/>
        </w:rPr>
      </w:pPr>
      <w:bookmarkStart w:id="9" w:name="hbzc_第三章_hwqd_c_采购清单_40_10_r_n"/>
      <w:bookmarkEnd w:id="9"/>
      <w:r>
        <w:rPr>
          <w:rFonts w:hint="eastAsia" w:ascii="仿宋" w:hAnsi="仿宋" w:eastAsia="仿宋" w:cs="仿宋"/>
          <w:sz w:val="28"/>
          <w:szCs w:val="28"/>
          <w:lang w:val="hr-HR"/>
        </w:rPr>
        <w:t>根据《武汉市批后建筑工程核查认定实施细则》（武自然资规发〔2023〕69号）、《建筑工程批后核查试点工作方案》（2024年8月）</w:t>
      </w:r>
      <w:r>
        <w:rPr>
          <w:rFonts w:hint="eastAsia" w:ascii="仿宋" w:hAnsi="仿宋" w:eastAsia="仿宋" w:cs="仿宋"/>
          <w:sz w:val="28"/>
          <w:szCs w:val="28"/>
        </w:rPr>
        <w:t>等</w:t>
      </w:r>
      <w:r>
        <w:rPr>
          <w:rFonts w:hint="eastAsia" w:ascii="仿宋" w:hAnsi="仿宋" w:eastAsia="仿宋" w:cs="仿宋"/>
          <w:sz w:val="28"/>
          <w:szCs w:val="28"/>
          <w:lang w:val="en-US" w:eastAsia="zh-CN"/>
        </w:rPr>
        <w:t>文件</w:t>
      </w:r>
      <w:r>
        <w:rPr>
          <w:rFonts w:hint="eastAsia" w:ascii="仿宋" w:hAnsi="仿宋" w:eastAsia="仿宋" w:cs="仿宋"/>
          <w:sz w:val="28"/>
          <w:szCs w:val="28"/>
        </w:rPr>
        <w:t>，为</w:t>
      </w:r>
      <w:r>
        <w:rPr>
          <w:rFonts w:hint="eastAsia" w:ascii="仿宋" w:hAnsi="仿宋" w:eastAsia="仿宋" w:cs="仿宋"/>
          <w:sz w:val="28"/>
          <w:szCs w:val="28"/>
          <w:lang w:val="en-US" w:eastAsia="zh-CN"/>
        </w:rPr>
        <w:t>促进</w:t>
      </w:r>
      <w:r>
        <w:rPr>
          <w:rFonts w:hint="eastAsia" w:ascii="仿宋" w:hAnsi="仿宋" w:eastAsia="仿宋" w:cs="仿宋"/>
          <w:sz w:val="28"/>
          <w:szCs w:val="28"/>
        </w:rPr>
        <w:t>武汉市武昌区自然资源和城乡建设局</w:t>
      </w:r>
      <w:r>
        <w:rPr>
          <w:rFonts w:hint="eastAsia" w:ascii="仿宋" w:hAnsi="仿宋" w:eastAsia="仿宋" w:cs="仿宋"/>
          <w:sz w:val="28"/>
          <w:szCs w:val="28"/>
          <w:lang w:val="en-US" w:eastAsia="zh-CN"/>
        </w:rPr>
        <w:t>批后建设工程顺利开展</w:t>
      </w:r>
      <w:r>
        <w:rPr>
          <w:rFonts w:hint="eastAsia" w:ascii="仿宋" w:hAnsi="仿宋" w:eastAsia="仿宋" w:cs="仿宋"/>
          <w:sz w:val="28"/>
          <w:szCs w:val="28"/>
        </w:rPr>
        <w:t>，现对武汉市武昌区自然资源和城乡建设局</w:t>
      </w:r>
      <w:r>
        <w:rPr>
          <w:rFonts w:hint="eastAsia" w:ascii="仿宋" w:hAnsi="仿宋" w:eastAsia="仿宋" w:cs="仿宋"/>
          <w:sz w:val="28"/>
          <w:szCs w:val="28"/>
          <w:lang w:val="en-US" w:eastAsia="zh-CN"/>
        </w:rPr>
        <w:t>2024年存量项目、2025年未完成的项目批后核查</w:t>
      </w:r>
      <w:r>
        <w:rPr>
          <w:rFonts w:hint="eastAsia" w:ascii="仿宋" w:hAnsi="仿宋" w:eastAsia="仿宋" w:cs="仿宋"/>
          <w:sz w:val="28"/>
          <w:szCs w:val="28"/>
        </w:rPr>
        <w:t>工作进行采购。</w:t>
      </w:r>
    </w:p>
    <w:p w14:paraId="5562D67A">
      <w:pPr>
        <w:pStyle w:val="3"/>
        <w:keepNext w:val="0"/>
        <w:keepLines w:val="0"/>
        <w:wordWrap w:val="0"/>
        <w:topLinePunct/>
        <w:adjustRightInd w:val="0"/>
        <w:spacing w:before="0" w:after="0" w:line="360" w:lineRule="auto"/>
        <w:ind w:firstLine="560" w:firstLineChars="200"/>
        <w:rPr>
          <w:rFonts w:hint="default" w:ascii="黑体" w:hAnsi="黑体" w:eastAsia="黑体" w:cs="黑体"/>
          <w:b w:val="0"/>
          <w:sz w:val="28"/>
          <w:szCs w:val="21"/>
          <w:highlight w:val="none"/>
          <w:lang w:val="en-US"/>
        </w:rPr>
      </w:pPr>
      <w:bookmarkStart w:id="10" w:name="_Toc19790"/>
      <w:bookmarkStart w:id="11" w:name="_Toc29059"/>
      <w:bookmarkStart w:id="12" w:name="_Toc28947"/>
      <w:r>
        <w:rPr>
          <w:rFonts w:hint="eastAsia" w:ascii="黑体" w:hAnsi="黑体" w:eastAsia="黑体" w:cs="黑体"/>
          <w:b w:val="0"/>
          <w:sz w:val="28"/>
          <w:szCs w:val="21"/>
          <w:highlight w:val="none"/>
          <w:lang w:val="en-US" w:eastAsia="zh-CN"/>
        </w:rPr>
        <w:t>三、项目内容</w:t>
      </w:r>
      <w:bookmarkEnd w:id="10"/>
    </w:p>
    <w:p w14:paraId="4DBC6489">
      <w:pPr>
        <w:ind w:firstLine="560" w:firstLineChars="200"/>
        <w:jc w:val="both"/>
        <w:rPr>
          <w:rFonts w:hint="eastAsia" w:ascii="仿宋" w:hAnsi="仿宋" w:eastAsia="仿宋" w:cs="仿宋"/>
          <w:sz w:val="28"/>
          <w:szCs w:val="28"/>
          <w:lang w:val="en-US" w:eastAsia="zh-CN"/>
        </w:rPr>
      </w:pPr>
      <w:bookmarkStart w:id="13" w:name="_Toc28401"/>
      <w:r>
        <w:rPr>
          <w:rFonts w:hint="eastAsia" w:ascii="仿宋" w:hAnsi="仿宋" w:eastAsia="仿宋" w:cs="仿宋"/>
          <w:sz w:val="28"/>
          <w:szCs w:val="28"/>
          <w:lang w:val="en-US" w:eastAsia="zh-CN"/>
        </w:rPr>
        <w:t>自核发工规证后至核发规划条件核实证明止，围绕放线、验线、标准层、结构封顶阶段，完成以下核查内容：</w:t>
      </w:r>
    </w:p>
    <w:p w14:paraId="2D097A7C">
      <w:pPr>
        <w:ind w:firstLine="560" w:firstLineChars="200"/>
        <w:jc w:val="both"/>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1.建设单位是否在施工现场醒目位置公示《建设工程规划许可证》内容及附图；</w:t>
      </w:r>
    </w:p>
    <w:p w14:paraId="37D0EF76">
      <w:pPr>
        <w:ind w:firstLine="560" w:firstLineChars="200"/>
        <w:jc w:val="both"/>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2.建筑工程是否按照《建设工程规划许可证》及其附件的行政许可内容进行建设；</w:t>
      </w:r>
    </w:p>
    <w:p w14:paraId="52216902">
      <w:pPr>
        <w:ind w:firstLine="560" w:firstLineChars="200"/>
        <w:jc w:val="both"/>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3.用地范围内应拆除的建筑物、构筑物或者其他设施是否拆除；</w:t>
      </w:r>
    </w:p>
    <w:p w14:paraId="0A07E46D">
      <w:pPr>
        <w:ind w:firstLine="560" w:firstLineChars="200"/>
        <w:jc w:val="both"/>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4.采用无人机巡测获取全景影像并反映建设状态。</w:t>
      </w:r>
    </w:p>
    <w:p w14:paraId="38ECF6DB">
      <w:pPr>
        <w:pStyle w:val="3"/>
        <w:keepNext w:val="0"/>
        <w:keepLines w:val="0"/>
        <w:wordWrap w:val="0"/>
        <w:topLinePunct/>
        <w:adjustRightInd w:val="0"/>
        <w:spacing w:before="0" w:after="0" w:line="360" w:lineRule="auto"/>
        <w:ind w:firstLine="560" w:firstLineChars="200"/>
        <w:rPr>
          <w:rFonts w:hint="eastAsia" w:ascii="仿宋" w:hAnsi="仿宋" w:eastAsia="仿宋" w:cs="仿宋"/>
          <w:szCs w:val="20"/>
        </w:rPr>
      </w:pPr>
      <w:r>
        <w:rPr>
          <w:rFonts w:hint="eastAsia" w:ascii="黑体" w:hAnsi="黑体" w:eastAsia="黑体" w:cs="黑体"/>
          <w:b w:val="0"/>
          <w:sz w:val="28"/>
          <w:szCs w:val="21"/>
          <w:lang w:val="en-US" w:eastAsia="zh-CN"/>
        </w:rPr>
        <w:t>四</w:t>
      </w:r>
      <w:r>
        <w:rPr>
          <w:rFonts w:hint="eastAsia" w:ascii="黑体" w:hAnsi="黑体" w:eastAsia="黑体" w:cs="黑体"/>
          <w:b w:val="0"/>
          <w:sz w:val="28"/>
          <w:szCs w:val="21"/>
        </w:rPr>
        <w:t>、服务内容与数量</w:t>
      </w:r>
    </w:p>
    <w:p w14:paraId="59B7A2C3">
      <w:pPr>
        <w:ind w:firstLine="560" w:firstLineChars="200"/>
        <w:rPr>
          <w:rFonts w:hint="eastAsia" w:ascii="仿宋" w:hAnsi="仿宋" w:eastAsia="仿宋" w:cs="仿宋"/>
          <w:strike/>
          <w:dstrike w:val="0"/>
          <w:sz w:val="28"/>
          <w:szCs w:val="28"/>
          <w:lang w:val="en-US" w:eastAsia="zh-CN"/>
        </w:rPr>
      </w:pPr>
      <w:bookmarkStart w:id="14" w:name="_Hlk214356910"/>
      <w:r>
        <w:rPr>
          <w:rFonts w:hint="eastAsia" w:ascii="仿宋" w:hAnsi="仿宋" w:eastAsia="仿宋" w:cs="仿宋"/>
          <w:sz w:val="28"/>
          <w:szCs w:val="28"/>
          <w:lang w:val="en-US" w:eastAsia="zh-CN"/>
        </w:rPr>
        <w:t>对武汉市武昌区自然资源和城乡建设局2024年审批的存量项目、2025年审批的未完成的项目，共计</w:t>
      </w:r>
      <w:bookmarkStart w:id="24" w:name="_GoBack"/>
      <w:bookmarkEnd w:id="24"/>
      <w:r>
        <w:rPr>
          <w:rFonts w:hint="eastAsia" w:ascii="仿宋" w:hAnsi="仿宋" w:eastAsia="仿宋" w:cs="仿宋"/>
          <w:sz w:val="28"/>
          <w:szCs w:val="28"/>
          <w:lang w:val="en-US" w:eastAsia="zh-CN"/>
        </w:rPr>
        <w:t>36个项目，约125栋（以实际为准）建筑物在2025年的建设情况进行核查。</w:t>
      </w:r>
    </w:p>
    <w:p w14:paraId="525E80A0">
      <w:pPr>
        <w:ind w:firstLine="560" w:firstLineChars="200"/>
        <w:jc w:val="center"/>
        <w:rPr>
          <w:rFonts w:hint="default" w:ascii="仿宋" w:hAnsi="仿宋" w:eastAsia="仿宋" w:cs="仿宋"/>
          <w:sz w:val="28"/>
          <w:szCs w:val="28"/>
          <w:lang w:val="en-US" w:eastAsia="zh-CN"/>
        </w:rPr>
      </w:pPr>
      <w:r>
        <w:rPr>
          <w:rFonts w:hint="eastAsia" w:ascii="黑体" w:hAnsi="黑体" w:eastAsia="黑体" w:cs="黑体"/>
          <w:b w:val="0"/>
          <w:sz w:val="28"/>
          <w:szCs w:val="21"/>
          <w:highlight w:val="none"/>
          <w:lang w:val="en-US" w:eastAsia="zh-CN"/>
        </w:rPr>
        <w:t>各核查阶段单价</w:t>
      </w:r>
    </w:p>
    <w:tbl>
      <w:tblPr>
        <w:tblStyle w:val="4"/>
        <w:tblW w:w="8336" w:type="dxa"/>
        <w:tblInd w:w="0" w:type="dxa"/>
        <w:shd w:val="clear" w:color="auto" w:fill="auto"/>
        <w:tblLayout w:type="fixed"/>
        <w:tblCellMar>
          <w:top w:w="0" w:type="dxa"/>
          <w:left w:w="0" w:type="dxa"/>
          <w:bottom w:w="0" w:type="dxa"/>
          <w:right w:w="0" w:type="dxa"/>
        </w:tblCellMar>
      </w:tblPr>
      <w:tblGrid>
        <w:gridCol w:w="711"/>
        <w:gridCol w:w="1191"/>
        <w:gridCol w:w="1990"/>
        <w:gridCol w:w="4444"/>
      </w:tblGrid>
      <w:tr w14:paraId="3EDE511E">
        <w:tblPrEx>
          <w:shd w:val="clear" w:color="auto" w:fill="auto"/>
          <w:tblCellMar>
            <w:top w:w="0" w:type="dxa"/>
            <w:left w:w="0" w:type="dxa"/>
            <w:bottom w:w="0" w:type="dxa"/>
            <w:right w:w="0" w:type="dxa"/>
          </w:tblCellMar>
        </w:tblPrEx>
        <w:trPr>
          <w:trHeight w:val="420" w:hRule="atLeast"/>
        </w:trPr>
        <w:tc>
          <w:tcPr>
            <w:tcW w:w="190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109F71">
            <w:pPr>
              <w:pStyle w:val="6"/>
              <w:adjustRightInd w:val="0"/>
              <w:snapToGrid w:val="0"/>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核查阶段</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E1DAA2">
            <w:pPr>
              <w:pStyle w:val="6"/>
              <w:adjustRightInd w:val="0"/>
              <w:snapToGrid w:val="0"/>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单价</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46EE58">
            <w:pPr>
              <w:pStyle w:val="6"/>
              <w:adjustRightInd w:val="0"/>
              <w:snapToGrid w:val="0"/>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单价依据</w:t>
            </w:r>
          </w:p>
        </w:tc>
      </w:tr>
      <w:tr w14:paraId="034ADB15">
        <w:tblPrEx>
          <w:tblCellMar>
            <w:top w:w="0" w:type="dxa"/>
            <w:left w:w="0" w:type="dxa"/>
            <w:bottom w:w="0" w:type="dxa"/>
            <w:right w:w="0" w:type="dxa"/>
          </w:tblCellMar>
        </w:tblPrEx>
        <w:trPr>
          <w:trHeight w:val="1898" w:hRule="atLeast"/>
        </w:trPr>
        <w:tc>
          <w:tcPr>
            <w:tcW w:w="190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A8FD15">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建筑放线阶段核查</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F4364">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3278.85/栋</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AB4AE">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参考“财政部、国家测绘局关于印发《测绘生产成本费用定额》及有关细则的通知”财建〔2009〕17号文件，工程测量-建筑物放线，3278.85元/件。</w:t>
            </w:r>
          </w:p>
        </w:tc>
      </w:tr>
      <w:tr w14:paraId="34ADF9EA">
        <w:tblPrEx>
          <w:tblCellMar>
            <w:top w:w="0" w:type="dxa"/>
            <w:left w:w="0" w:type="dxa"/>
            <w:bottom w:w="0" w:type="dxa"/>
            <w:right w:w="0" w:type="dxa"/>
          </w:tblCellMar>
        </w:tblPrEx>
        <w:trPr>
          <w:trHeight w:val="1898" w:hRule="atLeast"/>
        </w:trPr>
        <w:tc>
          <w:tcPr>
            <w:tcW w:w="190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1E94E">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正负零验线阶段核查</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A1860">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3150.59/边</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F4DFE6">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参考“财政部、国家测绘局关于印发《测绘生产成本费用定额》及有关细则的通知”财建〔2009〕17号文件，工程测量-规划监督测量，验测平面位置为3150.59元/边。每栋建筑正负零验线核验2条边。</w:t>
            </w:r>
          </w:p>
        </w:tc>
      </w:tr>
      <w:tr w14:paraId="164F7D00">
        <w:tblPrEx>
          <w:tblCellMar>
            <w:top w:w="0" w:type="dxa"/>
            <w:left w:w="0" w:type="dxa"/>
            <w:bottom w:w="0" w:type="dxa"/>
            <w:right w:w="0" w:type="dxa"/>
          </w:tblCellMar>
        </w:tblPrEx>
        <w:trPr>
          <w:trHeight w:val="575"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50AAF">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标准层核验</w:t>
            </w:r>
          </w:p>
        </w:tc>
        <w:tc>
          <w:tcPr>
            <w:tcW w:w="11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AA0B76">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验测平面位置</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D3966">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3150.59/边</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630F95">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 xml:space="preserve">参考“财政部、国家测绘局关于印发《测绘生产成本费用定额》及有关细则的通知”财建〔2009〕17号文件，工程测量-规划监督测量，验测平面位置为3150.59元/边。每栋建筑标准层核验2条边。 </w:t>
            </w:r>
          </w:p>
        </w:tc>
      </w:tr>
      <w:tr w14:paraId="05FF82B1">
        <w:tblPrEx>
          <w:tblCellMar>
            <w:top w:w="0" w:type="dxa"/>
            <w:left w:w="0" w:type="dxa"/>
            <w:bottom w:w="0" w:type="dxa"/>
            <w:right w:w="0" w:type="dxa"/>
          </w:tblCellMar>
        </w:tblPrEx>
        <w:trPr>
          <w:trHeight w:val="189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75D444">
            <w:pPr>
              <w:jc w:val="center"/>
              <w:rPr>
                <w:rFonts w:hint="eastAsia" w:ascii="仿宋" w:hAnsi="仿宋" w:eastAsia="仿宋" w:cs="仿宋"/>
                <w:i w:val="0"/>
                <w:color w:val="000000"/>
                <w:sz w:val="22"/>
                <w:szCs w:val="22"/>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6DC18">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验测高程、高度</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9792F3">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2849.06/栋</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A36F3E">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参考“财政部、国家测绘局关于印发《测绘生产成本费用定额》及有关细则的通知”财建〔2009〕17号文件，工程测量-规划监督测量，验测高度高程为2849.06元/栋。每栋建筑标准层验测高程、高度1次。</w:t>
            </w:r>
          </w:p>
        </w:tc>
      </w:tr>
      <w:tr w14:paraId="142D8DCA">
        <w:tblPrEx>
          <w:tblCellMar>
            <w:top w:w="0" w:type="dxa"/>
            <w:left w:w="0" w:type="dxa"/>
            <w:bottom w:w="0" w:type="dxa"/>
            <w:right w:w="0" w:type="dxa"/>
          </w:tblCellMar>
        </w:tblPrEx>
        <w:trPr>
          <w:trHeight w:val="1898"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C2F9E4">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结构封顶核验</w:t>
            </w:r>
          </w:p>
        </w:tc>
        <w:tc>
          <w:tcPr>
            <w:tcW w:w="11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A250A2">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验测平面位置</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0082EB">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3150.59/边</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31337">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参考“财政部、国家测绘局关于印发《测绘生产成本费用定额》及有关细则的通知”财建〔2009〕17号文件，工程测量-规划监督测量，验测平面位置为3150.59元/边。每栋建筑结构封顶核验2条边。</w:t>
            </w:r>
          </w:p>
        </w:tc>
      </w:tr>
      <w:tr w14:paraId="1992D3BB">
        <w:tblPrEx>
          <w:tblCellMar>
            <w:top w:w="0" w:type="dxa"/>
            <w:left w:w="0" w:type="dxa"/>
            <w:bottom w:w="0" w:type="dxa"/>
            <w:right w:w="0" w:type="dxa"/>
          </w:tblCellMar>
        </w:tblPrEx>
        <w:trPr>
          <w:trHeight w:val="1898"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59A46">
            <w:pPr>
              <w:jc w:val="center"/>
              <w:rPr>
                <w:rFonts w:hint="eastAsia" w:ascii="仿宋" w:hAnsi="仿宋" w:eastAsia="仿宋" w:cs="仿宋"/>
                <w:i w:val="0"/>
                <w:color w:val="000000"/>
                <w:sz w:val="22"/>
                <w:szCs w:val="22"/>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1E0BF5">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验测高程、高度</w:t>
            </w:r>
          </w:p>
        </w:tc>
        <w:tc>
          <w:tcPr>
            <w:tcW w:w="199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7A724">
            <w:pPr>
              <w:keepNext w:val="0"/>
              <w:keepLines w:val="0"/>
              <w:widowControl/>
              <w:suppressLineNumbers w:val="0"/>
              <w:jc w:val="center"/>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2849.06栋</w:t>
            </w:r>
          </w:p>
        </w:tc>
        <w:tc>
          <w:tcPr>
            <w:tcW w:w="44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249565">
            <w:pPr>
              <w:keepNext w:val="0"/>
              <w:keepLines w:val="0"/>
              <w:widowControl/>
              <w:suppressLineNumbers w:val="0"/>
              <w:jc w:val="left"/>
              <w:textAlignment w:val="center"/>
              <w:rPr>
                <w:rFonts w:hint="eastAsia" w:ascii="仿宋" w:hAnsi="仿宋" w:eastAsia="仿宋" w:cs="仿宋"/>
                <w:i w:val="0"/>
                <w:color w:val="000000"/>
                <w:sz w:val="22"/>
                <w:szCs w:val="22"/>
                <w:u w:val="none"/>
              </w:rPr>
            </w:pPr>
            <w:r>
              <w:rPr>
                <w:rFonts w:hint="eastAsia" w:ascii="仿宋" w:hAnsi="仿宋" w:eastAsia="仿宋" w:cs="仿宋"/>
                <w:i w:val="0"/>
                <w:color w:val="000000"/>
                <w:kern w:val="0"/>
                <w:sz w:val="22"/>
                <w:szCs w:val="22"/>
                <w:u w:val="none"/>
                <w:lang w:val="en-US" w:eastAsia="zh-CN" w:bidi="ar"/>
              </w:rPr>
              <w:t>参考“财政部、国家测绘局关于印发《测绘生产成本费用定额》及有关细则的通知”财建〔2009〕17号文件，工程测量-规划监督测量，验测高度高程为2849.06元/栋。每栋建筑标准层验测高程、高度1次。</w:t>
            </w:r>
          </w:p>
        </w:tc>
      </w:tr>
    </w:tbl>
    <w:p w14:paraId="43EF1D85">
      <w:pPr>
        <w:ind w:firstLine="560" w:firstLineChars="200"/>
        <w:rPr>
          <w:rFonts w:hint="eastAsia" w:ascii="黑体" w:hAnsi="黑体" w:eastAsia="黑体" w:cs="黑体"/>
          <w:b w:val="0"/>
          <w:sz w:val="28"/>
          <w:szCs w:val="21"/>
          <w:lang w:val="en-US" w:eastAsia="zh-CN"/>
        </w:rPr>
      </w:pPr>
      <w:r>
        <w:rPr>
          <w:rFonts w:hint="eastAsia" w:ascii="黑体" w:hAnsi="黑体" w:eastAsia="黑体" w:cs="黑体"/>
          <w:b w:val="0"/>
          <w:sz w:val="28"/>
          <w:szCs w:val="21"/>
          <w:lang w:val="en-US" w:eastAsia="zh-CN"/>
        </w:rPr>
        <w:t>五、测绘基准</w:t>
      </w:r>
    </w:p>
    <w:bookmarkEnd w:id="14"/>
    <w:p w14:paraId="7CC3EC64">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1、三维基准采用CGCS2000框架、2000.0历元；</w:t>
      </w:r>
    </w:p>
    <w:p w14:paraId="69D9AAD7">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2、平面基准采用武汉2000坐标系（基于CGCS2000坐标系统的武汉市独立坐标系）；</w:t>
      </w:r>
    </w:p>
    <w:p w14:paraId="1A668DB5">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3、高程基准采用1985国家高程基准。</w:t>
      </w:r>
    </w:p>
    <w:p w14:paraId="65881BD2">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1"/>
          <w:lang w:val="en-US" w:eastAsia="zh-CN"/>
        </w:rPr>
      </w:pPr>
      <w:r>
        <w:rPr>
          <w:rFonts w:hint="eastAsia" w:ascii="黑体" w:hAnsi="黑体" w:eastAsia="黑体" w:cs="黑体"/>
          <w:b w:val="0"/>
          <w:sz w:val="28"/>
          <w:szCs w:val="21"/>
          <w:lang w:val="en-US" w:eastAsia="zh-CN"/>
        </w:rPr>
        <w:t>六、应遵循的业务标准</w:t>
      </w:r>
    </w:p>
    <w:p w14:paraId="1D43D9EE">
      <w:pPr>
        <w:ind w:firstLine="560" w:firstLineChars="200"/>
        <w:rPr>
          <w:rFonts w:hint="eastAsia" w:ascii="仿宋" w:hAnsi="仿宋" w:eastAsia="仿宋" w:cs="仿宋"/>
          <w:sz w:val="28"/>
          <w:szCs w:val="28"/>
        </w:rPr>
      </w:pPr>
      <w:r>
        <w:rPr>
          <w:rFonts w:hint="eastAsia" w:ascii="仿宋" w:hAnsi="仿宋" w:eastAsia="仿宋" w:cs="仿宋"/>
          <w:sz w:val="28"/>
          <w:szCs w:val="28"/>
        </w:rPr>
        <w:t>1.《倾斜数字航空摄影技术规程》（GB∕T 39610-2020）；</w:t>
      </w:r>
    </w:p>
    <w:p w14:paraId="703880C7">
      <w:pPr>
        <w:ind w:firstLine="560" w:firstLineChars="200"/>
        <w:rPr>
          <w:rFonts w:hint="eastAsia" w:ascii="仿宋" w:hAnsi="仿宋" w:eastAsia="仿宋" w:cs="仿宋"/>
          <w:sz w:val="28"/>
          <w:szCs w:val="28"/>
        </w:rPr>
      </w:pPr>
      <w:r>
        <w:rPr>
          <w:rFonts w:hint="eastAsia" w:ascii="仿宋" w:hAnsi="仿宋" w:eastAsia="仿宋" w:cs="仿宋"/>
          <w:sz w:val="28"/>
          <w:szCs w:val="28"/>
        </w:rPr>
        <w:t>2.《卫星导航定位基准站网络实时动态测量（RTK）规范》（GB∕T 39616-2020）；</w:t>
      </w:r>
    </w:p>
    <w:p w14:paraId="652C73D9">
      <w:pPr>
        <w:ind w:firstLine="560" w:firstLineChars="200"/>
        <w:rPr>
          <w:rFonts w:hint="eastAsia" w:ascii="仿宋" w:hAnsi="仿宋" w:eastAsia="仿宋" w:cs="仿宋"/>
          <w:sz w:val="28"/>
          <w:szCs w:val="28"/>
        </w:rPr>
      </w:pPr>
      <w:r>
        <w:rPr>
          <w:rFonts w:hint="eastAsia" w:ascii="仿宋" w:hAnsi="仿宋" w:eastAsia="仿宋" w:cs="仿宋"/>
          <w:sz w:val="28"/>
          <w:szCs w:val="28"/>
        </w:rPr>
        <w:t>3.《城市测量规范》（CJJ∕T 8-2011）；</w:t>
      </w:r>
    </w:p>
    <w:p w14:paraId="005EDB00">
      <w:pPr>
        <w:ind w:firstLine="560" w:firstLineChars="200"/>
        <w:rPr>
          <w:rFonts w:hint="eastAsia" w:ascii="仿宋" w:hAnsi="仿宋" w:eastAsia="仿宋" w:cs="仿宋"/>
          <w:sz w:val="28"/>
          <w:szCs w:val="28"/>
        </w:rPr>
      </w:pPr>
      <w:r>
        <w:rPr>
          <w:rFonts w:hint="eastAsia" w:ascii="仿宋" w:hAnsi="仿宋" w:eastAsia="仿宋" w:cs="仿宋"/>
          <w:sz w:val="28"/>
          <w:szCs w:val="28"/>
        </w:rPr>
        <w:t>4.《实景三维数据倾斜摄影测量技术规程》（CH∕T 3026-2023）；</w:t>
      </w:r>
    </w:p>
    <w:p w14:paraId="77522428">
      <w:pPr>
        <w:ind w:firstLine="560" w:firstLineChars="200"/>
        <w:rPr>
          <w:rFonts w:hint="eastAsia" w:ascii="仿宋" w:hAnsi="仿宋" w:eastAsia="仿宋" w:cs="仿宋"/>
          <w:sz w:val="28"/>
          <w:szCs w:val="28"/>
        </w:rPr>
      </w:pPr>
      <w:r>
        <w:rPr>
          <w:rFonts w:hint="eastAsia" w:ascii="仿宋" w:hAnsi="仿宋" w:eastAsia="仿宋" w:cs="仿宋"/>
          <w:sz w:val="28"/>
          <w:szCs w:val="28"/>
        </w:rPr>
        <w:t>5.《武汉市批后建筑工程核查认定实施细则》（武自然资规发〔2023〕69号）；</w:t>
      </w:r>
    </w:p>
    <w:p w14:paraId="004FA9B5">
      <w:pPr>
        <w:ind w:firstLine="560" w:firstLineChars="200"/>
        <w:rPr>
          <w:rFonts w:hint="eastAsia" w:ascii="仿宋" w:hAnsi="仿宋" w:eastAsia="仿宋" w:cs="仿宋"/>
          <w:sz w:val="28"/>
          <w:szCs w:val="28"/>
        </w:rPr>
      </w:pPr>
      <w:r>
        <w:rPr>
          <w:rFonts w:hint="eastAsia" w:ascii="仿宋" w:hAnsi="仿宋" w:eastAsia="仿宋" w:cs="仿宋"/>
          <w:sz w:val="28"/>
          <w:szCs w:val="28"/>
        </w:rPr>
        <w:t>6.《建筑工程批后核查试点工作方案》（2024年8月）。</w:t>
      </w:r>
    </w:p>
    <w:p w14:paraId="2C7F29A3">
      <w:pPr>
        <w:pStyle w:val="3"/>
        <w:keepNext w:val="0"/>
        <w:keepLines w:val="0"/>
        <w:wordWrap w:val="0"/>
        <w:topLinePunct/>
        <w:adjustRightInd w:val="0"/>
        <w:spacing w:before="0" w:after="0" w:line="360" w:lineRule="auto"/>
        <w:ind w:firstLine="560" w:firstLineChars="200"/>
        <w:rPr>
          <w:rFonts w:hint="eastAsia" w:ascii="仿宋" w:hAnsi="仿宋" w:eastAsia="仿宋" w:cs="仿宋"/>
          <w:szCs w:val="20"/>
        </w:rPr>
      </w:pPr>
      <w:r>
        <w:rPr>
          <w:rFonts w:hint="eastAsia" w:ascii="黑体" w:hAnsi="黑体" w:eastAsia="黑体" w:cs="黑体"/>
          <w:b w:val="0"/>
          <w:sz w:val="28"/>
          <w:szCs w:val="21"/>
          <w:lang w:val="en-US" w:eastAsia="zh-CN"/>
        </w:rPr>
        <w:t>七</w:t>
      </w:r>
      <w:r>
        <w:rPr>
          <w:rFonts w:hint="eastAsia" w:ascii="黑体" w:hAnsi="黑体" w:eastAsia="黑体" w:cs="黑体"/>
          <w:b w:val="0"/>
          <w:sz w:val="28"/>
          <w:szCs w:val="21"/>
        </w:rPr>
        <w:t>、商务要求</w:t>
      </w:r>
      <w:bookmarkEnd w:id="11"/>
      <w:bookmarkEnd w:id="12"/>
      <w:bookmarkEnd w:id="13"/>
    </w:p>
    <w:p w14:paraId="0164C6F5">
      <w:pPr>
        <w:ind w:firstLine="562" w:firstLineChars="200"/>
        <w:rPr>
          <w:rFonts w:hint="eastAsia" w:ascii="仿宋" w:hAnsi="仿宋" w:eastAsia="仿宋" w:cs="仿宋"/>
          <w:b/>
          <w:bCs/>
          <w:sz w:val="28"/>
          <w:szCs w:val="28"/>
        </w:rPr>
      </w:pP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一</w:t>
      </w:r>
      <w:r>
        <w:rPr>
          <w:rFonts w:hint="eastAsia" w:ascii="仿宋" w:hAnsi="仿宋" w:eastAsia="仿宋" w:cs="仿宋"/>
          <w:b/>
          <w:bCs/>
          <w:sz w:val="28"/>
          <w:szCs w:val="28"/>
          <w:lang w:eastAsia="zh-CN"/>
        </w:rPr>
        <w:t>）</w:t>
      </w:r>
      <w:r>
        <w:rPr>
          <w:rFonts w:hint="eastAsia" w:ascii="仿宋" w:hAnsi="仿宋" w:eastAsia="仿宋" w:cs="仿宋"/>
          <w:b/>
          <w:bCs/>
          <w:sz w:val="28"/>
          <w:szCs w:val="28"/>
        </w:rPr>
        <w:t>报价要求</w:t>
      </w:r>
    </w:p>
    <w:p w14:paraId="7B1AB0D0">
      <w:pPr>
        <w:ind w:firstLine="560" w:firstLineChars="200"/>
        <w:rPr>
          <w:rFonts w:hint="eastAsia" w:ascii="仿宋" w:hAnsi="仿宋" w:eastAsia="仿宋" w:cs="仿宋"/>
          <w:sz w:val="28"/>
          <w:szCs w:val="28"/>
        </w:rPr>
      </w:pPr>
      <w:r>
        <w:rPr>
          <w:rFonts w:hint="eastAsia" w:ascii="仿宋" w:hAnsi="仿宋" w:eastAsia="仿宋" w:cs="仿宋"/>
          <w:sz w:val="28"/>
          <w:szCs w:val="28"/>
        </w:rPr>
        <w:t>本项目一律用人民币报价且报价为总价包干。供应商报价应包含本项目的全部费用，包括全部服务、实施等所涉及的一切费用（如：</w:t>
      </w:r>
      <w:r>
        <w:rPr>
          <w:rFonts w:hint="eastAsia" w:ascii="仿宋" w:hAnsi="仿宋" w:eastAsia="仿宋" w:cs="仿宋"/>
          <w:sz w:val="28"/>
          <w:szCs w:val="28"/>
          <w:lang w:val="en-US" w:eastAsia="zh-CN"/>
        </w:rPr>
        <w:t>外业测量费</w:t>
      </w:r>
      <w:r>
        <w:rPr>
          <w:rFonts w:hint="eastAsia" w:ascii="仿宋" w:hAnsi="仿宋" w:eastAsia="仿宋" w:cs="仿宋"/>
          <w:sz w:val="28"/>
          <w:szCs w:val="28"/>
        </w:rPr>
        <w:t>、各种税费、项目管理费、各种耗材费、设备折旧费、项目培训费等），对于本采购文件未列明，而供应商认为必需的费用也需列入磋商总报价。在合同实施时，采购人将不予支付成交供应商没有列入的项目费用，并认为此项目的费用已包括在磋商总报价中。</w:t>
      </w:r>
    </w:p>
    <w:p w14:paraId="3D609C9D">
      <w:pPr>
        <w:ind w:firstLine="562" w:firstLineChars="200"/>
        <w:rPr>
          <w:rFonts w:hint="default" w:ascii="仿宋" w:hAnsi="仿宋" w:eastAsia="仿宋" w:cs="仿宋"/>
          <w:b/>
          <w:bCs/>
          <w:sz w:val="28"/>
          <w:szCs w:val="28"/>
          <w:lang w:val="en-US" w:eastAsia="zh-CN"/>
        </w:rPr>
      </w:pPr>
      <w:bookmarkStart w:id="15" w:name="_Toc16957"/>
      <w:bookmarkStart w:id="16" w:name="_Toc25040"/>
      <w:bookmarkStart w:id="17" w:name="_Toc5262"/>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二</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服务响应</w:t>
      </w:r>
    </w:p>
    <w:p w14:paraId="2285A484">
      <w:pPr>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质保期限：项目验收交付后，提供1年的质保服务。</w:t>
      </w:r>
    </w:p>
    <w:p w14:paraId="3A55678E">
      <w:pPr>
        <w:ind w:firstLine="560" w:firstLine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eastAsia="zh-CN"/>
        </w:rPr>
        <w:t>.</w:t>
      </w:r>
      <w:r>
        <w:rPr>
          <w:rFonts w:hint="eastAsia" w:ascii="仿宋" w:hAnsi="仿宋" w:eastAsia="仿宋" w:cs="仿宋"/>
          <w:sz w:val="28"/>
          <w:szCs w:val="28"/>
        </w:rPr>
        <w:t>售后服务响应时间：</w:t>
      </w:r>
      <w:r>
        <w:rPr>
          <w:rFonts w:hint="eastAsia" w:ascii="仿宋" w:hAnsi="仿宋" w:eastAsia="仿宋" w:cs="仿宋"/>
          <w:sz w:val="28"/>
          <w:szCs w:val="28"/>
          <w:lang w:val="en-US" w:eastAsia="zh-CN"/>
        </w:rPr>
        <w:t>供应商</w:t>
      </w:r>
      <w:r>
        <w:rPr>
          <w:rFonts w:hint="eastAsia" w:ascii="仿宋" w:hAnsi="仿宋" w:eastAsia="仿宋" w:cs="仿宋"/>
          <w:sz w:val="28"/>
          <w:szCs w:val="28"/>
        </w:rPr>
        <w:t>接到</w:t>
      </w:r>
      <w:r>
        <w:rPr>
          <w:rFonts w:hint="eastAsia" w:ascii="仿宋" w:hAnsi="仿宋" w:eastAsia="仿宋" w:cs="仿宋"/>
          <w:sz w:val="28"/>
          <w:szCs w:val="28"/>
          <w:lang w:val="en-US" w:eastAsia="zh-CN"/>
        </w:rPr>
        <w:t>采购人</w:t>
      </w:r>
      <w:r>
        <w:rPr>
          <w:rFonts w:hint="eastAsia" w:ascii="仿宋" w:hAnsi="仿宋" w:eastAsia="仿宋" w:cs="仿宋"/>
          <w:sz w:val="28"/>
          <w:szCs w:val="28"/>
        </w:rPr>
        <w:t>电话后2小时内响应，8小时内上门服务。</w:t>
      </w:r>
    </w:p>
    <w:p w14:paraId="0F785788">
      <w:pPr>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lang w:eastAsia="zh-CN"/>
        </w:rPr>
        <w:t>.</w:t>
      </w:r>
      <w:r>
        <w:rPr>
          <w:rFonts w:hint="eastAsia" w:ascii="仿宋" w:hAnsi="仿宋" w:eastAsia="仿宋" w:cs="仿宋"/>
          <w:sz w:val="28"/>
          <w:szCs w:val="28"/>
        </w:rPr>
        <w:t>售后服务问题解决时间：一般问题在8小时内解决，严重问题要求及时提出</w:t>
      </w:r>
      <w:r>
        <w:rPr>
          <w:rFonts w:hint="eastAsia" w:ascii="仿宋" w:hAnsi="仿宋" w:eastAsia="仿宋" w:cs="仿宋"/>
          <w:sz w:val="28"/>
          <w:szCs w:val="28"/>
          <w:lang w:val="en-US" w:eastAsia="zh-CN"/>
        </w:rPr>
        <w:t>采购人</w:t>
      </w:r>
      <w:r>
        <w:rPr>
          <w:rFonts w:hint="eastAsia" w:ascii="仿宋" w:hAnsi="仿宋" w:eastAsia="仿宋" w:cs="仿宋"/>
          <w:sz w:val="28"/>
          <w:szCs w:val="28"/>
        </w:rPr>
        <w:t>可接受的解决方案和服务承诺。</w:t>
      </w:r>
    </w:p>
    <w:p w14:paraId="7E1F89CF">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1"/>
          <w:highlight w:val="none"/>
        </w:rPr>
      </w:pPr>
      <w:r>
        <w:rPr>
          <w:rFonts w:hint="eastAsia" w:ascii="黑体" w:hAnsi="黑体" w:eastAsia="黑体" w:cs="黑体"/>
          <w:b w:val="0"/>
          <w:sz w:val="28"/>
          <w:szCs w:val="21"/>
          <w:highlight w:val="none"/>
          <w:lang w:val="en-US" w:eastAsia="zh-CN"/>
        </w:rPr>
        <w:t>八</w:t>
      </w:r>
      <w:r>
        <w:rPr>
          <w:rFonts w:hint="eastAsia" w:ascii="黑体" w:hAnsi="黑体" w:eastAsia="黑体" w:cs="黑体"/>
          <w:b w:val="0"/>
          <w:sz w:val="28"/>
          <w:szCs w:val="21"/>
          <w:highlight w:val="none"/>
        </w:rPr>
        <w:t>、付款方式</w:t>
      </w:r>
      <w:bookmarkEnd w:id="15"/>
      <w:bookmarkEnd w:id="16"/>
      <w:bookmarkEnd w:id="17"/>
    </w:p>
    <w:p w14:paraId="667F23C1">
      <w:pPr>
        <w:ind w:firstLine="560" w:firstLineChars="200"/>
        <w:rPr>
          <w:rFonts w:hint="default" w:ascii="仿宋" w:hAnsi="仿宋" w:eastAsia="仿宋" w:cs="仿宋"/>
          <w:color w:val="FFFFFF" w:themeColor="background1"/>
          <w:sz w:val="28"/>
          <w:szCs w:val="28"/>
          <w:highlight w:val="none"/>
          <w:lang w:val="en-US" w:eastAsia="zh-CN"/>
          <w14:textFill>
            <w14:solidFill>
              <w14:schemeClr w14:val="bg1"/>
            </w14:solidFill>
          </w14:textFill>
        </w:rPr>
      </w:pPr>
      <w:r>
        <w:rPr>
          <w:rFonts w:hint="eastAsia" w:ascii="仿宋" w:hAnsi="仿宋" w:eastAsia="仿宋" w:cs="仿宋"/>
          <w:sz w:val="28"/>
          <w:szCs w:val="28"/>
          <w:highlight w:val="none"/>
          <w:lang w:val="en-US" w:eastAsia="zh-CN"/>
        </w:rPr>
        <w:t>合同款项分三次支付。合同签订后，由供应商申请，支付30万元（第一次）；2025年12月31日前，由供应商提交中期成果数据及报告，经采购</w:t>
      </w:r>
      <w:r>
        <w:rPr>
          <w:rFonts w:hint="eastAsia" w:ascii="仿宋" w:hAnsi="仿宋" w:eastAsia="仿宋" w:cs="仿宋"/>
          <w:color w:val="auto"/>
          <w:sz w:val="28"/>
          <w:szCs w:val="28"/>
          <w:highlight w:val="none"/>
          <w:lang w:val="en-US" w:eastAsia="zh-CN"/>
        </w:rPr>
        <w:t>人核查确认后，支付41万元（第二次）；2026年3月31日前，项目任</w:t>
      </w:r>
      <w:r>
        <w:rPr>
          <w:rFonts w:hint="eastAsia" w:ascii="仿宋" w:hAnsi="仿宋" w:eastAsia="仿宋" w:cs="仿宋"/>
          <w:sz w:val="28"/>
          <w:szCs w:val="28"/>
          <w:highlight w:val="none"/>
          <w:lang w:val="en-US" w:eastAsia="zh-CN"/>
        </w:rPr>
        <w:t>务完成100%并提交全部成果数据及报告，经采购人核查确认后</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于2026年支付合同全部尾款3万元（第三次）</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成交供应商申请采购人付款时，应提供相应金额的合法发票，未提供相应金额的合法发票的，采购有权拒绝支付合同款项，且不承担违约责任。</w:t>
      </w:r>
    </w:p>
    <w:p w14:paraId="25841E1F">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1"/>
          <w:highlight w:val="none"/>
        </w:rPr>
      </w:pPr>
      <w:bookmarkStart w:id="18" w:name="_Toc23371"/>
      <w:bookmarkStart w:id="19" w:name="_Toc32352"/>
      <w:bookmarkStart w:id="20" w:name="_Toc20471"/>
      <w:bookmarkStart w:id="21" w:name="_Toc30898"/>
      <w:bookmarkStart w:id="22" w:name="_Toc17827"/>
      <w:r>
        <w:rPr>
          <w:rFonts w:hint="eastAsia" w:ascii="黑体" w:hAnsi="黑体" w:eastAsia="黑体" w:cs="黑体"/>
          <w:b w:val="0"/>
          <w:sz w:val="28"/>
          <w:szCs w:val="21"/>
          <w:highlight w:val="none"/>
          <w:lang w:val="en-US" w:eastAsia="zh-CN"/>
        </w:rPr>
        <w:t>九</w:t>
      </w:r>
      <w:r>
        <w:rPr>
          <w:rFonts w:hint="eastAsia" w:ascii="黑体" w:hAnsi="黑体" w:eastAsia="黑体" w:cs="黑体"/>
          <w:b w:val="0"/>
          <w:sz w:val="28"/>
          <w:szCs w:val="21"/>
          <w:highlight w:val="none"/>
        </w:rPr>
        <w:t>、验收方式</w:t>
      </w:r>
      <w:bookmarkEnd w:id="18"/>
      <w:bookmarkEnd w:id="19"/>
      <w:bookmarkEnd w:id="20"/>
    </w:p>
    <w:p w14:paraId="7E3F1C2E">
      <w:pPr>
        <w:ind w:firstLine="560" w:firstLineChars="200"/>
        <w:rPr>
          <w:rFonts w:hint="eastAsia" w:ascii="仿宋" w:hAnsi="仿宋" w:eastAsia="仿宋" w:cs="仿宋"/>
          <w:sz w:val="28"/>
          <w:szCs w:val="28"/>
        </w:rPr>
      </w:pPr>
      <w:r>
        <w:rPr>
          <w:rFonts w:hint="eastAsia" w:ascii="仿宋" w:hAnsi="仿宋" w:eastAsia="仿宋" w:cs="仿宋"/>
          <w:sz w:val="28"/>
          <w:szCs w:val="28"/>
        </w:rPr>
        <w:t>1.验收方式：验收将严格按照采购文件要求的服务规定和供应商响应文件的响应及承诺执行，验收不合格的应在规定时间内根据采购人要求进行免费整改，验收意见作为验收书的参考资料存档备查。在验收过程中发现质量问题，供应商应负责按照采购人的要求妥善处理，并承担由此发生的一切费用和损失。</w:t>
      </w:r>
    </w:p>
    <w:p w14:paraId="23DAEB7A">
      <w:pPr>
        <w:ind w:firstLine="560" w:firstLineChars="200"/>
        <w:rPr>
          <w:rFonts w:hint="eastAsia" w:ascii="仿宋" w:hAnsi="仿宋" w:eastAsia="仿宋" w:cs="仿宋"/>
          <w:sz w:val="28"/>
          <w:szCs w:val="28"/>
        </w:rPr>
      </w:pPr>
      <w:r>
        <w:rPr>
          <w:rFonts w:hint="eastAsia" w:ascii="仿宋" w:hAnsi="仿宋" w:eastAsia="仿宋" w:cs="仿宋"/>
          <w:sz w:val="28"/>
          <w:szCs w:val="28"/>
        </w:rPr>
        <w:t>2.组织形式：采购人</w:t>
      </w:r>
      <w:r>
        <w:rPr>
          <w:rFonts w:hint="eastAsia" w:ascii="仿宋" w:hAnsi="仿宋" w:eastAsia="仿宋" w:cs="仿宋"/>
          <w:sz w:val="28"/>
          <w:szCs w:val="28"/>
          <w:lang w:val="en-US" w:eastAsia="zh-CN"/>
        </w:rPr>
        <w:t>自行</w:t>
      </w:r>
      <w:r>
        <w:rPr>
          <w:rFonts w:hint="eastAsia" w:ascii="仿宋" w:hAnsi="仿宋" w:eastAsia="仿宋" w:cs="仿宋"/>
          <w:sz w:val="28"/>
          <w:szCs w:val="28"/>
        </w:rPr>
        <w:t>组织验收，时间和地点由采购人与成交供应商双方协商确定。</w:t>
      </w:r>
      <w:r>
        <w:rPr>
          <w:rFonts w:hint="eastAsia" w:ascii="仿宋" w:hAnsi="仿宋" w:eastAsia="仿宋" w:cs="仿宋"/>
          <w:sz w:val="28"/>
          <w:szCs w:val="28"/>
          <w:lang w:val="en-US" w:eastAsia="zh-CN"/>
        </w:rPr>
        <w:t>成交供应商</w:t>
      </w:r>
      <w:r>
        <w:rPr>
          <w:rFonts w:hint="eastAsia" w:ascii="仿宋" w:hAnsi="仿宋" w:eastAsia="仿宋" w:cs="仿宋"/>
          <w:sz w:val="28"/>
          <w:szCs w:val="28"/>
        </w:rPr>
        <w:t>应按要求拟派专业人员配合采购人提供相关验收资料并参与验收流程，</w:t>
      </w:r>
      <w:r>
        <w:rPr>
          <w:rFonts w:hint="eastAsia" w:ascii="仿宋" w:hAnsi="仿宋" w:eastAsia="仿宋" w:cs="仿宋"/>
          <w:sz w:val="28"/>
          <w:szCs w:val="28"/>
          <w:lang w:val="en-US" w:eastAsia="zh-CN"/>
        </w:rPr>
        <w:t>成交供应商</w:t>
      </w:r>
      <w:r>
        <w:rPr>
          <w:rFonts w:hint="eastAsia" w:ascii="仿宋" w:hAnsi="仿宋" w:eastAsia="仿宋" w:cs="仿宋"/>
          <w:sz w:val="28"/>
          <w:szCs w:val="28"/>
        </w:rPr>
        <w:t>的相关费用自行承担</w:t>
      </w:r>
      <w:r>
        <w:rPr>
          <w:rFonts w:hint="eastAsia" w:ascii="仿宋" w:hAnsi="仿宋" w:eastAsia="仿宋" w:cs="仿宋"/>
          <w:sz w:val="28"/>
          <w:szCs w:val="28"/>
          <w:lang w:eastAsia="zh-CN"/>
        </w:rPr>
        <w:t>。</w:t>
      </w:r>
      <w:r>
        <w:rPr>
          <w:rFonts w:hint="eastAsia" w:ascii="仿宋" w:hAnsi="仿宋" w:eastAsia="仿宋" w:cs="仿宋"/>
          <w:sz w:val="28"/>
          <w:szCs w:val="28"/>
        </w:rPr>
        <w:t>如未通过采购人的验收，采购人有权要求成交供应商修改、完善，直至通过验收。</w:t>
      </w:r>
    </w:p>
    <w:p w14:paraId="5FD0903B">
      <w:pPr>
        <w:wordWrap w:val="0"/>
        <w:topLinePunct/>
        <w:adjustRightInd w:val="0"/>
        <w:ind w:firstLine="560" w:firstLineChars="200"/>
        <w:rPr>
          <w:rFonts w:hint="eastAsia"/>
        </w:rPr>
      </w:pPr>
      <w:r>
        <w:rPr>
          <w:rFonts w:hint="eastAsia" w:ascii="仿宋" w:hAnsi="仿宋" w:eastAsia="仿宋" w:cs="仿宋"/>
          <w:sz w:val="28"/>
          <w:szCs w:val="28"/>
        </w:rPr>
        <w:t>3.验收标准：根据国家、湖北省相关法律法规、政策文件及行业标准等。</w:t>
      </w:r>
    </w:p>
    <w:p w14:paraId="792E072E">
      <w:pPr>
        <w:pStyle w:val="3"/>
        <w:keepNext w:val="0"/>
        <w:keepLines w:val="0"/>
        <w:wordWrap w:val="0"/>
        <w:topLinePunct/>
        <w:adjustRightInd w:val="0"/>
        <w:spacing w:before="0" w:after="0" w:line="360" w:lineRule="auto"/>
        <w:ind w:firstLine="560" w:firstLineChars="200"/>
        <w:rPr>
          <w:rFonts w:hint="eastAsia" w:ascii="黑体" w:hAnsi="黑体" w:eastAsia="黑体" w:cs="黑体"/>
          <w:b w:val="0"/>
          <w:sz w:val="28"/>
          <w:szCs w:val="21"/>
          <w:highlight w:val="none"/>
          <w:lang w:val="en-US" w:eastAsia="zh-CN"/>
        </w:rPr>
      </w:pPr>
      <w:bookmarkStart w:id="23" w:name="_Toc11328"/>
      <w:r>
        <w:rPr>
          <w:rFonts w:hint="eastAsia" w:ascii="黑体" w:hAnsi="黑体" w:eastAsia="黑体" w:cs="黑体"/>
          <w:b w:val="0"/>
          <w:sz w:val="28"/>
          <w:szCs w:val="21"/>
          <w:highlight w:val="none"/>
          <w:lang w:val="en-US" w:eastAsia="zh-CN"/>
        </w:rPr>
        <w:t>十、其他要求</w:t>
      </w:r>
      <w:bookmarkEnd w:id="21"/>
      <w:bookmarkEnd w:id="22"/>
      <w:bookmarkEnd w:id="23"/>
    </w:p>
    <w:p w14:paraId="745733FD">
      <w:pPr>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rPr>
        <w:t>1.本项目属于专业技术工作，工作内容较为复杂，当前不能完全确定采购需求，需由供应商结合自身项目经验和本项目实际情况提供相关解决方案等。</w:t>
      </w:r>
      <w:r>
        <w:rPr>
          <w:rFonts w:hint="eastAsia" w:ascii="仿宋" w:hAnsi="仿宋" w:eastAsia="仿宋" w:cs="Times New Roman"/>
          <w:sz w:val="28"/>
          <w:szCs w:val="28"/>
          <w:highlight w:val="none"/>
        </w:rPr>
        <w:t>供应商应对项目内容进行充分调研，能全面理解并准确分析本项目的需求及目的，提出有针对性的组织与服务方案；也需对本项目进行需求分析，并针对本项目制定相关的</w:t>
      </w:r>
      <w:r>
        <w:rPr>
          <w:rFonts w:ascii="仿宋" w:hAnsi="仿宋" w:eastAsia="仿宋" w:cs="仿宋"/>
          <w:sz w:val="28"/>
          <w:szCs w:val="28"/>
          <w:highlight w:val="none"/>
        </w:rPr>
        <w:t>项目</w:t>
      </w:r>
      <w:r>
        <w:rPr>
          <w:rFonts w:hint="eastAsia" w:ascii="仿宋" w:hAnsi="仿宋" w:eastAsia="仿宋" w:cs="仿宋"/>
          <w:sz w:val="28"/>
          <w:szCs w:val="28"/>
          <w:highlight w:val="none"/>
        </w:rPr>
        <w:t>总体服务方案、项目进度计划、人员安排方案、质量保障措施、项目保密方案</w:t>
      </w:r>
      <w:r>
        <w:rPr>
          <w:rFonts w:hint="eastAsia" w:ascii="仿宋" w:hAnsi="仿宋" w:eastAsia="仿宋" w:cs="Times New Roman"/>
          <w:sz w:val="28"/>
          <w:szCs w:val="28"/>
          <w:highlight w:val="none"/>
        </w:rPr>
        <w:t>等。</w:t>
      </w:r>
    </w:p>
    <w:p w14:paraId="133689AF">
      <w:pPr>
        <w:ind w:firstLine="560" w:firstLineChars="200"/>
        <w:rPr>
          <w:rFonts w:hint="eastAsia" w:ascii="仿宋" w:hAnsi="仿宋" w:eastAsia="仿宋" w:cs="Times New Roman"/>
          <w:sz w:val="28"/>
          <w:szCs w:val="28"/>
        </w:rPr>
      </w:pPr>
      <w:r>
        <w:rPr>
          <w:rFonts w:hint="eastAsia" w:ascii="仿宋" w:hAnsi="仿宋" w:eastAsia="仿宋" w:cs="仿宋"/>
          <w:sz w:val="28"/>
          <w:szCs w:val="28"/>
        </w:rPr>
        <w:t>2.</w:t>
      </w:r>
      <w:r>
        <w:rPr>
          <w:rFonts w:hint="eastAsia" w:ascii="仿宋" w:hAnsi="仿宋" w:eastAsia="仿宋" w:cs="Times New Roman"/>
          <w:sz w:val="28"/>
          <w:szCs w:val="28"/>
        </w:rPr>
        <w:t>为满足本项目要求，供应商应在合同履行期限内完成全部项目内容</w:t>
      </w:r>
      <w:r>
        <w:rPr>
          <w:rFonts w:hint="eastAsia" w:ascii="仿宋" w:hAnsi="仿宋" w:eastAsia="仿宋" w:cs="仿宋"/>
          <w:sz w:val="28"/>
          <w:szCs w:val="28"/>
        </w:rPr>
        <w:t>。鉴于本项目的重要性和复杂性，供应商拟投入本项目人员需要具备</w:t>
      </w:r>
      <w:r>
        <w:rPr>
          <w:rFonts w:hint="eastAsia" w:ascii="仿宋" w:hAnsi="仿宋" w:eastAsia="仿宋" w:cs="仿宋"/>
          <w:sz w:val="28"/>
          <w:szCs w:val="28"/>
          <w:highlight w:val="none"/>
        </w:rPr>
        <w:t>足够数量且具有</w:t>
      </w:r>
      <w:r>
        <w:rPr>
          <w:rFonts w:hint="eastAsia" w:ascii="仿宋" w:hAnsi="仿宋" w:eastAsia="仿宋" w:cs="仿宋"/>
          <w:sz w:val="28"/>
          <w:szCs w:val="28"/>
          <w:highlight w:val="none"/>
          <w:lang w:val="en-US" w:eastAsia="zh-CN"/>
        </w:rPr>
        <w:t>档案</w:t>
      </w:r>
      <w:r>
        <w:rPr>
          <w:rFonts w:hint="eastAsia" w:ascii="仿宋" w:hAnsi="仿宋" w:eastAsia="仿宋" w:cs="仿宋"/>
          <w:sz w:val="28"/>
          <w:szCs w:val="28"/>
        </w:rPr>
        <w:t>类</w:t>
      </w:r>
      <w:r>
        <w:rPr>
          <w:rFonts w:hint="eastAsia" w:ascii="仿宋" w:hAnsi="仿宋" w:eastAsia="仿宋" w:cs="仿宋"/>
          <w:sz w:val="28"/>
          <w:szCs w:val="28"/>
          <w:lang w:val="en-US" w:eastAsia="zh-CN"/>
        </w:rPr>
        <w:t>等</w:t>
      </w:r>
      <w:r>
        <w:rPr>
          <w:rFonts w:hint="eastAsia" w:ascii="仿宋" w:hAnsi="仿宋" w:eastAsia="仿宋" w:cs="仿宋"/>
          <w:sz w:val="28"/>
          <w:szCs w:val="28"/>
        </w:rPr>
        <w:t>相关专业</w:t>
      </w:r>
      <w:r>
        <w:rPr>
          <w:rFonts w:hint="eastAsia" w:ascii="仿宋" w:hAnsi="仿宋" w:eastAsia="仿宋" w:cs="仿宋"/>
          <w:sz w:val="28"/>
          <w:szCs w:val="28"/>
          <w:highlight w:val="none"/>
          <w:lang w:val="en-US" w:eastAsia="zh-CN"/>
        </w:rPr>
        <w:t>职称或学历</w:t>
      </w:r>
      <w:r>
        <w:rPr>
          <w:rFonts w:hint="eastAsia" w:ascii="仿宋" w:hAnsi="仿宋" w:eastAsia="仿宋" w:cs="仿宋"/>
          <w:sz w:val="28"/>
          <w:szCs w:val="28"/>
        </w:rPr>
        <w:t>，可以凭借其</w:t>
      </w:r>
      <w:r>
        <w:rPr>
          <w:rFonts w:hint="eastAsia" w:ascii="仿宋" w:hAnsi="仿宋" w:eastAsia="仿宋" w:cs="仿宋"/>
          <w:sz w:val="28"/>
          <w:szCs w:val="28"/>
          <w:lang w:val="en-US" w:eastAsia="zh-CN"/>
        </w:rPr>
        <w:t>丰富的经验</w:t>
      </w:r>
      <w:r>
        <w:rPr>
          <w:rFonts w:hint="eastAsia" w:ascii="仿宋" w:hAnsi="仿宋" w:eastAsia="仿宋" w:cs="仿宋"/>
          <w:sz w:val="28"/>
          <w:szCs w:val="28"/>
        </w:rPr>
        <w:t>，应对项目中可能遇到的具体挑战，能有效提升项目执行的准确性和效率，减少试错成本，从而更好地满足项目需求。</w:t>
      </w:r>
    </w:p>
    <w:p w14:paraId="7CBEC24F">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3.违约责任</w:t>
      </w:r>
    </w:p>
    <w:p w14:paraId="5C0724D2">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供应商提供的所有服务，应严格按照本采购文件及响应的各项服务具体内容执行，经采购人验收不合格的均提供无条件免费整改，直至满足合同要求为止。</w:t>
      </w:r>
    </w:p>
    <w:p w14:paraId="57664100">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供应商提供的服务超过合同规定的期限的，采购人有权终止合同。采购人终止合同后，有权以其认为适当的条件和方式购买本合同内未交付部分的服务，由此发生的额外费用由供应商承担；供应商提供的服务不符合合同约定或验收不合格的，采购人有权要求供应商及时整改；整改不合格或逾期完成整改的，采购人有权视为供应商提供的服务超过合同规定的期限。</w:t>
      </w:r>
    </w:p>
    <w:p w14:paraId="79CCC4DB">
      <w:pPr>
        <w:ind w:firstLine="560" w:firstLineChars="200"/>
      </w:pPr>
      <w:r>
        <w:rPr>
          <w:rFonts w:hint="eastAsia" w:ascii="仿宋" w:hAnsi="仿宋" w:eastAsia="仿宋" w:cs="Times New Roman"/>
          <w:sz w:val="28"/>
          <w:szCs w:val="28"/>
        </w:rPr>
        <w:t>4.供应商在提供服务的过程中如侵犯了第三方合法权益应该承担全部责任，给采购人造成损失的应该承担赔偿责任。采购人依法必须参与诉讼的，采购人律师费由乙方承担。</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FF4DC9"/>
    <w:rsid w:val="0B725E3B"/>
    <w:rsid w:val="0D0B5174"/>
    <w:rsid w:val="10531AFD"/>
    <w:rsid w:val="13F648B5"/>
    <w:rsid w:val="17316C40"/>
    <w:rsid w:val="2FD9510C"/>
    <w:rsid w:val="318A28D4"/>
    <w:rsid w:val="33236D50"/>
    <w:rsid w:val="3EFF4DC9"/>
    <w:rsid w:val="49FE64DA"/>
    <w:rsid w:val="4CC56D84"/>
    <w:rsid w:val="4ECF4D65"/>
    <w:rsid w:val="5576204B"/>
    <w:rsid w:val="55A82268"/>
    <w:rsid w:val="567151D0"/>
    <w:rsid w:val="58FC58DC"/>
    <w:rsid w:val="61E629DE"/>
    <w:rsid w:val="67DE14F6"/>
    <w:rsid w:val="6A287420"/>
    <w:rsid w:val="75746E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cstheme="majorBidi"/>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6">
    <w:name w:val="No Spacing"/>
    <w:qFormat/>
    <w:uiPriority w:val="1"/>
    <w:pPr>
      <w:widowControl w:val="0"/>
    </w:pPr>
    <w:rPr>
      <w:rFonts w:ascii="宋体" w:hAnsi="宋体" w:eastAsia="宋体" w:cstheme="minorBidi"/>
      <w:kern w:val="2"/>
      <w:sz w:val="21"/>
      <w:szCs w:val="22"/>
      <w:lang w:val="en-US" w:eastAsia="zh-CN" w:bidi="ar-SA"/>
    </w:rPr>
  </w:style>
  <w:style w:type="character" w:customStyle="1" w:styleId="7">
    <w:name w:val="font31"/>
    <w:basedOn w:val="5"/>
    <w:qFormat/>
    <w:uiPriority w:val="0"/>
    <w:rPr>
      <w:rFonts w:hint="eastAsia" w:ascii="微软雅黑" w:hAnsi="微软雅黑" w:eastAsia="微软雅黑" w:cs="微软雅黑"/>
      <w:color w:val="000000"/>
      <w:sz w:val="20"/>
      <w:szCs w:val="20"/>
      <w:u w:val="none"/>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2871</Words>
  <Characters>3111</Characters>
  <Lines>0</Lines>
  <Paragraphs>0</Paragraphs>
  <TotalTime>2</TotalTime>
  <ScaleCrop>false</ScaleCrop>
  <LinksUpToDate>false</LinksUpToDate>
  <CharactersWithSpaces>3117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2025-05-09T01:08:00Z</dcterms:created>
  <dc:creator>Administrator</dc:creator>
  <cp:lastModifiedBy>露露</cp:lastModifiedBy>
  <cp:lastPrinted>2025-12-04T08:34:00Z</cp:lastPrinted>
  <dcterms:modified xsi:type="dcterms:W3CDTF">2025-12-10T01:14:00Z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eyJoZGlkIjoiNjdmYjYyYmJhYjg1OWM5YTA5OTAwZTRiODQyNTI3ZWUiLCJ1c2VySWQiOiI1MjE2ODAzMDIifQ==</vt:lpwstr>
  </property>
  <property fmtid="{D5CDD505-2E9C-101B-9397-08002B2CF9AE}" pid="4" name="ICV">
    <vt:lpwstr>328E981DEDA34B4292585731409AF35F_13</vt:lpwstr>
  </property>
</Properties>
</file>