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0" w:lineRule="exact"/>
        <w:jc w:val="center"/>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采购需求</w:t>
      </w:r>
    </w:p>
    <w:p>
      <w:pPr>
        <w:spacing w:line="560" w:lineRule="exact"/>
        <w:ind w:firstLine="640" w:firstLineChars="200"/>
        <w:rPr>
          <w:rFonts w:hint="default" w:ascii="Times New Roman" w:hAnsi="Times New Roman" w:eastAsia="黑体" w:cs="Times New Roman"/>
          <w:color w:val="auto"/>
          <w:sz w:val="32"/>
          <w:szCs w:val="32"/>
        </w:rPr>
      </w:pPr>
    </w:p>
    <w:p>
      <w:pPr>
        <w:spacing w:line="560" w:lineRule="exact"/>
        <w:ind w:firstLine="640" w:firstLineChars="200"/>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一、项目概况</w:t>
      </w:r>
    </w:p>
    <w:p>
      <w:pPr>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1.项目名称：武汉市</w:t>
      </w:r>
      <w:r>
        <w:rPr>
          <w:rFonts w:hint="default" w:ascii="Times New Roman" w:hAnsi="Times New Roman" w:eastAsia="仿宋_GB2312" w:cs="Times New Roman"/>
          <w:color w:val="auto"/>
          <w:sz w:val="32"/>
          <w:szCs w:val="32"/>
          <w:lang w:eastAsia="zh-CN"/>
        </w:rPr>
        <w:t>应急</w:t>
      </w:r>
      <w:r>
        <w:rPr>
          <w:rFonts w:hint="eastAsia" w:ascii="Times New Roman" w:hAnsi="Times New Roman" w:eastAsia="仿宋_GB2312" w:cs="Times New Roman"/>
          <w:color w:val="auto"/>
          <w:sz w:val="32"/>
          <w:szCs w:val="32"/>
          <w:lang w:val="en-US" w:eastAsia="zh-CN"/>
        </w:rPr>
        <w:t>管理局</w:t>
      </w:r>
      <w:r>
        <w:rPr>
          <w:rFonts w:hint="default" w:ascii="Times New Roman" w:hAnsi="Times New Roman" w:eastAsia="仿宋_GB2312" w:cs="Times New Roman"/>
          <w:color w:val="auto"/>
          <w:sz w:val="32"/>
          <w:szCs w:val="32"/>
        </w:rPr>
        <w:t>物业管理服务</w:t>
      </w:r>
    </w:p>
    <w:p>
      <w:pPr>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2.项目地址：</w:t>
      </w:r>
      <w:r>
        <w:rPr>
          <w:rFonts w:hint="eastAsia" w:ascii="Times New Roman" w:hAnsi="Times New Roman" w:eastAsia="仿宋_GB2312" w:cs="Times New Roman"/>
          <w:color w:val="auto"/>
          <w:sz w:val="32"/>
          <w:szCs w:val="32"/>
          <w:lang w:val="en-US" w:eastAsia="zh-CN"/>
        </w:rPr>
        <w:t>江岸区</w:t>
      </w:r>
      <w:r>
        <w:rPr>
          <w:rFonts w:hint="eastAsia" w:ascii="Times New Roman" w:hAnsi="Times New Roman" w:eastAsia="仿宋_GB2312" w:cs="Times New Roman"/>
          <w:kern w:val="0"/>
          <w:sz w:val="32"/>
          <w:szCs w:val="32"/>
          <w:lang w:val="en-US" w:eastAsia="zh-CN"/>
        </w:rPr>
        <w:t>工农兵路</w:t>
      </w:r>
      <w:r>
        <w:rPr>
          <w:rFonts w:hint="eastAsia" w:ascii="Times New Roman" w:hAnsi="Times New Roman" w:eastAsia="仿宋_GB2312" w:cs="Times New Roman"/>
          <w:color w:val="auto"/>
          <w:kern w:val="0"/>
          <w:sz w:val="32"/>
          <w:szCs w:val="32"/>
          <w:highlight w:val="none"/>
          <w:lang w:val="en-US" w:eastAsia="zh-CN"/>
        </w:rPr>
        <w:t>111</w:t>
      </w:r>
      <w:r>
        <w:rPr>
          <w:rFonts w:hint="eastAsia" w:ascii="Times New Roman" w:hAnsi="Times New Roman" w:eastAsia="仿宋_GB2312" w:cs="Times New Roman"/>
          <w:kern w:val="0"/>
          <w:sz w:val="32"/>
          <w:szCs w:val="32"/>
          <w:lang w:val="en-US" w:eastAsia="zh-CN"/>
        </w:rPr>
        <w:t>号、</w:t>
      </w:r>
      <w:r>
        <w:rPr>
          <w:rFonts w:hint="eastAsia" w:ascii="仿宋_GB2312" w:hAnsi="仿宋_GB2312" w:eastAsia="仿宋_GB2312" w:cs="仿宋_GB2312"/>
          <w:color w:val="auto"/>
          <w:sz w:val="32"/>
          <w:szCs w:val="32"/>
          <w:highlight w:val="none"/>
          <w:lang w:val="en-US" w:eastAsia="zh-CN"/>
        </w:rPr>
        <w:t>二七路</w:t>
      </w:r>
      <w:r>
        <w:rPr>
          <w:rFonts w:hint="eastAsia" w:ascii="Times New Roman" w:hAnsi="Times New Roman" w:eastAsia="仿宋_GB2312" w:cs="Times New Roman"/>
          <w:color w:val="auto"/>
          <w:kern w:val="0"/>
          <w:sz w:val="32"/>
          <w:szCs w:val="32"/>
          <w:highlight w:val="none"/>
          <w:lang w:val="en-US" w:eastAsia="zh-CN"/>
        </w:rPr>
        <w:t>142</w:t>
      </w:r>
      <w:r>
        <w:rPr>
          <w:rFonts w:hint="eastAsia" w:ascii="仿宋_GB2312" w:hAnsi="仿宋_GB2312" w:eastAsia="仿宋_GB2312" w:cs="仿宋_GB2312"/>
          <w:color w:val="auto"/>
          <w:sz w:val="32"/>
          <w:szCs w:val="32"/>
          <w:highlight w:val="none"/>
          <w:lang w:val="en-US" w:eastAsia="zh-CN"/>
        </w:rPr>
        <w:t>号</w:t>
      </w:r>
    </w:p>
    <w:p>
      <w:pPr>
        <w:spacing w:line="560" w:lineRule="exact"/>
        <w:ind w:firstLine="640" w:firstLineChars="200"/>
        <w:rPr>
          <w:rFonts w:hint="eastAsia" w:ascii="Times New Roman" w:hAnsi="Times New Roman" w:eastAsia="仿宋_GB2312" w:cs="Times New Roman"/>
          <w:kern w:val="0"/>
          <w:sz w:val="32"/>
          <w:szCs w:val="32"/>
          <w:vertAlign w:val="superscript"/>
          <w:lang w:val="en-US" w:eastAsia="zh-CN"/>
        </w:rPr>
      </w:pPr>
      <w:r>
        <w:rPr>
          <w:rFonts w:hint="default" w:ascii="Times New Roman" w:hAnsi="Times New Roman" w:eastAsia="仿宋_GB2312" w:cs="Times New Roman"/>
          <w:color w:val="auto"/>
          <w:sz w:val="32"/>
          <w:szCs w:val="32"/>
        </w:rPr>
        <w:t>3.建筑面积：</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1</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kern w:val="0"/>
          <w:sz w:val="32"/>
          <w:szCs w:val="32"/>
          <w:lang w:val="en-US" w:eastAsia="zh-CN"/>
        </w:rPr>
        <w:t>工农兵路</w:t>
      </w:r>
      <w:r>
        <w:rPr>
          <w:rFonts w:hint="eastAsia" w:ascii="Times New Roman" w:hAnsi="Times New Roman" w:eastAsia="仿宋_GB2312" w:cs="Times New Roman"/>
          <w:color w:val="auto"/>
          <w:kern w:val="0"/>
          <w:sz w:val="32"/>
          <w:szCs w:val="32"/>
          <w:highlight w:val="none"/>
          <w:lang w:val="en-US" w:eastAsia="zh-CN"/>
        </w:rPr>
        <w:t>111</w:t>
      </w:r>
      <w:r>
        <w:rPr>
          <w:rFonts w:hint="eastAsia" w:ascii="Times New Roman" w:hAnsi="Times New Roman" w:eastAsia="仿宋_GB2312" w:cs="Times New Roman"/>
          <w:kern w:val="0"/>
          <w:sz w:val="32"/>
          <w:szCs w:val="32"/>
          <w:lang w:val="en-US" w:eastAsia="zh-CN"/>
        </w:rPr>
        <w:t>号办公楼3000M</w:t>
      </w:r>
      <w:r>
        <w:rPr>
          <w:rFonts w:hint="eastAsia" w:ascii="Times New Roman" w:hAnsi="Times New Roman" w:eastAsia="仿宋_GB2312" w:cs="Times New Roman"/>
          <w:kern w:val="0"/>
          <w:sz w:val="32"/>
          <w:szCs w:val="32"/>
          <w:vertAlign w:val="superscript"/>
          <w:lang w:val="en-US" w:eastAsia="zh-CN"/>
        </w:rPr>
        <w:t>2</w:t>
      </w:r>
    </w:p>
    <w:p>
      <w:pPr>
        <w:spacing w:line="560" w:lineRule="exact"/>
        <w:ind w:firstLine="640" w:firstLineChars="200"/>
        <w:rPr>
          <w:rFonts w:hint="default" w:ascii="Times New Roman" w:hAnsi="Times New Roman" w:eastAsia="仿宋_GB2312" w:cs="Times New Roman"/>
          <w:kern w:val="0"/>
          <w:sz w:val="32"/>
          <w:szCs w:val="32"/>
          <w:vertAlign w:val="superscript"/>
          <w:lang w:val="en-US" w:eastAsia="zh-CN"/>
        </w:rPr>
      </w:pPr>
      <w:r>
        <w:rPr>
          <w:rFonts w:hint="eastAsia" w:ascii="Times New Roman" w:hAnsi="Times New Roman" w:eastAsia="仿宋_GB2312" w:cs="Times New Roman"/>
          <w:kern w:val="0"/>
          <w:sz w:val="32"/>
          <w:szCs w:val="32"/>
          <w:vertAlign w:val="superscript"/>
          <w:lang w:val="en-US" w:eastAsia="zh-CN"/>
        </w:rPr>
        <w:t xml:space="preserve">                  </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2</w:t>
      </w:r>
      <w:r>
        <w:rPr>
          <w:rFonts w:hint="eastAsia" w:ascii="Times New Roman" w:hAnsi="Times New Roman" w:eastAsia="仿宋_GB2312" w:cs="Times New Roman"/>
          <w:color w:val="auto"/>
          <w:sz w:val="32"/>
          <w:szCs w:val="32"/>
          <w:lang w:eastAsia="zh-CN"/>
        </w:rPr>
        <w:t>）</w:t>
      </w:r>
      <w:r>
        <w:rPr>
          <w:rFonts w:hint="eastAsia" w:ascii="仿宋_GB2312" w:hAnsi="仿宋_GB2312" w:eastAsia="仿宋_GB2312" w:cs="仿宋_GB2312"/>
          <w:color w:val="auto"/>
          <w:sz w:val="32"/>
          <w:szCs w:val="32"/>
          <w:highlight w:val="none"/>
          <w:lang w:val="en-US" w:eastAsia="zh-CN"/>
        </w:rPr>
        <w:t>二七路</w:t>
      </w:r>
      <w:r>
        <w:rPr>
          <w:rFonts w:hint="eastAsia" w:ascii="Times New Roman" w:hAnsi="Times New Roman" w:eastAsia="仿宋_GB2312" w:cs="Times New Roman"/>
          <w:color w:val="auto"/>
          <w:kern w:val="0"/>
          <w:sz w:val="32"/>
          <w:szCs w:val="32"/>
          <w:highlight w:val="none"/>
          <w:lang w:val="en-US" w:eastAsia="zh-CN"/>
        </w:rPr>
        <w:t>142</w:t>
      </w:r>
      <w:r>
        <w:rPr>
          <w:rFonts w:hint="eastAsia" w:ascii="仿宋_GB2312" w:hAnsi="仿宋_GB2312" w:eastAsia="仿宋_GB2312" w:cs="仿宋_GB2312"/>
          <w:color w:val="auto"/>
          <w:sz w:val="32"/>
          <w:szCs w:val="32"/>
          <w:highlight w:val="none"/>
          <w:lang w:val="en-US" w:eastAsia="zh-CN"/>
        </w:rPr>
        <w:t>号</w:t>
      </w:r>
      <w:r>
        <w:rPr>
          <w:rFonts w:hint="eastAsia" w:ascii="Times New Roman" w:hAnsi="Times New Roman" w:eastAsia="仿宋_GB2312" w:cs="Times New Roman"/>
          <w:kern w:val="0"/>
          <w:sz w:val="32"/>
          <w:szCs w:val="32"/>
          <w:lang w:val="en-US" w:eastAsia="zh-CN"/>
        </w:rPr>
        <w:t>办公楼</w:t>
      </w:r>
      <w:r>
        <w:rPr>
          <w:rFonts w:hint="eastAsia" w:ascii="Times New Roman" w:hAnsi="Times New Roman" w:eastAsia="仿宋_GB2312" w:cs="Times New Roman"/>
          <w:color w:val="auto"/>
          <w:kern w:val="0"/>
          <w:sz w:val="32"/>
          <w:szCs w:val="32"/>
          <w:highlight w:val="none"/>
          <w:lang w:val="en-US" w:eastAsia="zh-CN"/>
        </w:rPr>
        <w:t>3600M</w:t>
      </w:r>
      <w:r>
        <w:rPr>
          <w:rFonts w:hint="eastAsia" w:ascii="Times New Roman" w:hAnsi="Times New Roman" w:eastAsia="仿宋_GB2312" w:cs="Times New Roman"/>
          <w:color w:val="auto"/>
          <w:kern w:val="0"/>
          <w:sz w:val="32"/>
          <w:szCs w:val="32"/>
          <w:highlight w:val="none"/>
          <w:vertAlign w:val="superscript"/>
          <w:lang w:val="en-US" w:eastAsia="zh-CN"/>
        </w:rPr>
        <w:t>2</w:t>
      </w:r>
    </w:p>
    <w:p>
      <w:pPr>
        <w:spacing w:line="560" w:lineRule="exact"/>
        <w:ind w:firstLine="640" w:firstLineChars="200"/>
        <w:rPr>
          <w:rFonts w:hint="default"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.预算金额：</w:t>
      </w:r>
      <w:r>
        <w:rPr>
          <w:rFonts w:hint="eastAsia" w:ascii="Times New Roman" w:hAnsi="Times New Roman" w:eastAsia="仿宋_GB2312" w:cs="Times New Roman"/>
          <w:color w:val="auto"/>
          <w:sz w:val="32"/>
          <w:szCs w:val="32"/>
          <w:lang w:eastAsia="zh-CN"/>
        </w:rPr>
        <w:t>预算</w:t>
      </w:r>
      <w:r>
        <w:rPr>
          <w:rFonts w:hint="default" w:ascii="Times New Roman" w:hAnsi="Times New Roman" w:eastAsia="仿宋_GB2312" w:cs="Times New Roman"/>
          <w:color w:val="auto"/>
          <w:sz w:val="32"/>
          <w:szCs w:val="32"/>
        </w:rPr>
        <w:t>金额</w:t>
      </w:r>
      <w:r>
        <w:rPr>
          <w:rFonts w:hint="eastAsia" w:ascii="Times New Roman" w:hAnsi="Times New Roman" w:eastAsia="仿宋_GB2312" w:cs="Times New Roman"/>
          <w:color w:val="auto"/>
          <w:sz w:val="32"/>
          <w:szCs w:val="32"/>
          <w:lang w:val="en-US" w:eastAsia="zh-CN"/>
        </w:rPr>
        <w:t>21万</w:t>
      </w:r>
      <w:r>
        <w:rPr>
          <w:rFonts w:hint="default" w:ascii="Times New Roman" w:hAnsi="Times New Roman" w:eastAsia="仿宋_GB2312" w:cs="Times New Roman"/>
          <w:color w:val="auto"/>
          <w:sz w:val="32"/>
          <w:szCs w:val="32"/>
        </w:rPr>
        <w:t>元</w:t>
      </w:r>
    </w:p>
    <w:p>
      <w:pPr>
        <w:spacing w:line="560" w:lineRule="exact"/>
        <w:ind w:firstLine="640" w:firstLineChars="200"/>
        <w:rPr>
          <w:rFonts w:hint="default"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.人数要求：</w:t>
      </w:r>
      <w:r>
        <w:rPr>
          <w:rFonts w:hint="default" w:ascii="Times New Roman" w:hAnsi="Times New Roman" w:eastAsia="仿宋_GB2312" w:cs="Times New Roman"/>
          <w:color w:val="auto"/>
          <w:sz w:val="32"/>
          <w:szCs w:val="32"/>
          <w:lang w:val="en-US" w:eastAsia="zh-CN"/>
        </w:rPr>
        <w:t>物业服务</w:t>
      </w:r>
      <w:r>
        <w:rPr>
          <w:rFonts w:hint="default" w:ascii="Times New Roman" w:hAnsi="Times New Roman" w:eastAsia="仿宋_GB2312" w:cs="Times New Roman"/>
          <w:color w:val="auto"/>
          <w:sz w:val="32"/>
          <w:szCs w:val="32"/>
        </w:rPr>
        <w:t>总人数不少于</w:t>
      </w:r>
      <w:r>
        <w:rPr>
          <w:rFonts w:hint="eastAsia" w:ascii="Times New Roman" w:hAnsi="Times New Roman" w:eastAsia="仿宋_GB2312" w:cs="Times New Roman"/>
          <w:color w:val="auto"/>
          <w:kern w:val="0"/>
          <w:sz w:val="32"/>
          <w:szCs w:val="32"/>
          <w:highlight w:val="none"/>
          <w:lang w:val="en-US" w:eastAsia="zh-CN"/>
        </w:rPr>
        <w:t>14</w:t>
      </w:r>
      <w:r>
        <w:rPr>
          <w:rFonts w:hint="default" w:ascii="Times New Roman" w:hAnsi="Times New Roman" w:eastAsia="仿宋_GB2312" w:cs="Times New Roman"/>
          <w:color w:val="auto"/>
          <w:sz w:val="32"/>
          <w:szCs w:val="32"/>
        </w:rPr>
        <w:t>人</w:t>
      </w:r>
      <w:bookmarkStart w:id="0" w:name="_GoBack"/>
      <w:bookmarkEnd w:id="0"/>
    </w:p>
    <w:p>
      <w:pPr>
        <w:spacing w:line="590" w:lineRule="exact"/>
        <w:ind w:firstLine="640"/>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二、项目内容</w:t>
      </w:r>
    </w:p>
    <w:p>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Times New Roman" w:hAnsi="Times New Roman" w:eastAsia="仿宋_GB2312" w:cs="Times New Roman"/>
          <w:sz w:val="32"/>
          <w:szCs w:val="32"/>
          <w:lang w:val="en-US" w:eastAsia="zh-CN"/>
        </w:rPr>
        <w:t>1</w:t>
      </w:r>
      <w:r>
        <w:rPr>
          <w:rFonts w:hint="eastAsia" w:ascii="仿宋_GB2312" w:hAnsi="仿宋_GB2312" w:eastAsia="仿宋_GB2312" w:cs="仿宋_GB2312"/>
          <w:sz w:val="32"/>
          <w:szCs w:val="32"/>
          <w:lang w:val="en-US" w:eastAsia="zh-CN"/>
        </w:rPr>
        <w:t>.环境管理。负责</w:t>
      </w:r>
      <w:r>
        <w:rPr>
          <w:rFonts w:hint="eastAsia" w:ascii="仿宋_GB2312" w:hAnsi="仿宋_GB2312" w:eastAsia="仿宋_GB2312" w:cs="仿宋_GB2312"/>
          <w:kern w:val="0"/>
          <w:sz w:val="32"/>
          <w:szCs w:val="32"/>
          <w:lang w:val="en-US" w:eastAsia="zh-CN"/>
        </w:rPr>
        <w:t>办公</w:t>
      </w:r>
      <w:r>
        <w:rPr>
          <w:rFonts w:hint="eastAsia" w:ascii="仿宋_GB2312" w:hAnsi="仿宋_GB2312" w:eastAsia="仿宋_GB2312" w:cs="仿宋_GB2312"/>
          <w:sz w:val="32"/>
          <w:szCs w:val="32"/>
          <w:lang w:val="en-US" w:eastAsia="zh-CN"/>
        </w:rPr>
        <w:t>区域内公共道路、公共区域、绿化带、地面停车场、车库、领导办公室</w:t>
      </w:r>
      <w:r>
        <w:rPr>
          <w:rFonts w:hint="eastAsia" w:ascii="Times New Roman" w:hAnsi="Times New Roman" w:eastAsia="仿宋_GB2312" w:cs="Times New Roman"/>
          <w:sz w:val="32"/>
          <w:szCs w:val="32"/>
          <w:lang w:val="en-US" w:eastAsia="zh-CN"/>
        </w:rPr>
        <w:t>、</w:t>
      </w:r>
      <w:r>
        <w:rPr>
          <w:rFonts w:hint="eastAsia" w:ascii="仿宋_GB2312" w:hAnsi="仿宋_GB2312" w:eastAsia="仿宋_GB2312" w:cs="仿宋_GB2312"/>
          <w:sz w:val="32"/>
          <w:szCs w:val="32"/>
          <w:lang w:val="en-US" w:eastAsia="zh-CN"/>
        </w:rPr>
        <w:t>办公楼内公共区域（卫生间、门厅、走道、楼梯间等）等环境卫生清洁。</w:t>
      </w:r>
    </w:p>
    <w:p>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Times New Roman" w:hAnsi="Times New Roman" w:eastAsia="仿宋_GB2312" w:cs="Times New Roman"/>
          <w:sz w:val="32"/>
          <w:szCs w:val="32"/>
          <w:lang w:val="en-US" w:eastAsia="zh-CN"/>
        </w:rPr>
        <w:t>2</w:t>
      </w:r>
      <w:r>
        <w:rPr>
          <w:rFonts w:hint="eastAsia" w:ascii="仿宋_GB2312" w:hAnsi="仿宋_GB2312" w:eastAsia="仿宋_GB2312" w:cs="仿宋_GB2312"/>
          <w:sz w:val="32"/>
          <w:szCs w:val="32"/>
          <w:lang w:val="en-US" w:eastAsia="zh-CN"/>
        </w:rPr>
        <w:t>.秩序维护与管理。负责</w:t>
      </w:r>
      <w:r>
        <w:rPr>
          <w:rFonts w:hint="eastAsia" w:ascii="仿宋_GB2312" w:hAnsi="仿宋_GB2312" w:eastAsia="仿宋_GB2312" w:cs="仿宋_GB2312"/>
          <w:color w:val="auto"/>
          <w:sz w:val="32"/>
          <w:szCs w:val="32"/>
          <w:highlight w:val="none"/>
          <w:lang w:val="en-US" w:eastAsia="zh-CN"/>
        </w:rPr>
        <w:t>办公区</w:t>
      </w:r>
      <w:r>
        <w:rPr>
          <w:rFonts w:hint="eastAsia" w:ascii="仿宋_GB2312" w:hAnsi="仿宋_GB2312" w:eastAsia="仿宋_GB2312" w:cs="仿宋_GB2312"/>
          <w:sz w:val="32"/>
          <w:szCs w:val="32"/>
          <w:lang w:val="en-US" w:eastAsia="zh-CN"/>
        </w:rPr>
        <w:t>岗位值守、人员、物品、车辆出入管理、交通秩序疏导与维护、消防安防值守、巡视巡查；负责公共区域水、电、气巡查，配合甲方对突发事件进行处置；大型活动或接待时，负责维护交通秩序及车辆引导、停放管理。</w:t>
      </w:r>
    </w:p>
    <w:p>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Times New Roman" w:hAnsi="Times New Roman" w:eastAsia="仿宋_GB2312" w:cs="Times New Roman"/>
          <w:sz w:val="32"/>
          <w:szCs w:val="32"/>
          <w:lang w:val="en-US" w:eastAsia="zh-CN"/>
        </w:rPr>
        <w:t>3</w:t>
      </w:r>
      <w:r>
        <w:rPr>
          <w:rFonts w:hint="eastAsia" w:ascii="仿宋_GB2312" w:hAnsi="仿宋_GB2312" w:eastAsia="仿宋_GB2312" w:cs="仿宋_GB2312"/>
          <w:sz w:val="32"/>
          <w:szCs w:val="32"/>
          <w:lang w:val="en-US" w:eastAsia="zh-CN"/>
        </w:rPr>
        <w:t>.消防管理。负责对</w:t>
      </w:r>
      <w:r>
        <w:rPr>
          <w:rFonts w:hint="eastAsia" w:ascii="仿宋_GB2312" w:hAnsi="仿宋_GB2312" w:eastAsia="仿宋_GB2312" w:cs="仿宋_GB2312"/>
          <w:color w:val="auto"/>
          <w:sz w:val="32"/>
          <w:szCs w:val="32"/>
          <w:highlight w:val="none"/>
          <w:lang w:val="en-US" w:eastAsia="zh-CN"/>
        </w:rPr>
        <w:t>办公楼</w:t>
      </w:r>
      <w:r>
        <w:rPr>
          <w:rFonts w:hint="eastAsia" w:ascii="仿宋_GB2312" w:hAnsi="仿宋_GB2312" w:eastAsia="仿宋_GB2312" w:cs="仿宋_GB2312"/>
          <w:sz w:val="32"/>
          <w:szCs w:val="32"/>
          <w:lang w:val="en-US" w:eastAsia="zh-CN"/>
        </w:rPr>
        <w:t>公共区域</w:t>
      </w:r>
      <w:r>
        <w:rPr>
          <w:rFonts w:hint="eastAsia" w:ascii="仿宋_GB2312" w:hAnsi="仿宋_GB2312" w:eastAsia="仿宋_GB2312" w:cs="仿宋_GB2312"/>
          <w:color w:val="auto"/>
          <w:sz w:val="32"/>
          <w:szCs w:val="32"/>
          <w:lang w:val="en-US" w:eastAsia="zh-CN"/>
        </w:rPr>
        <w:t>开展火灾隐患排查，定期维护</w:t>
      </w:r>
      <w:r>
        <w:rPr>
          <w:rFonts w:hint="eastAsia" w:ascii="仿宋_GB2312" w:hAnsi="仿宋_GB2312" w:eastAsia="仿宋_GB2312" w:cs="仿宋_GB2312"/>
          <w:sz w:val="32"/>
          <w:szCs w:val="32"/>
          <w:lang w:val="en-US" w:eastAsia="zh-CN"/>
        </w:rPr>
        <w:t>消防设备、器材，制定消防应急预案，组织消防演练，预防火灾事故发生，</w:t>
      </w:r>
      <w:r>
        <w:rPr>
          <w:rFonts w:hint="eastAsia" w:ascii="仿宋_GB2312" w:hAnsi="仿宋_GB2312" w:eastAsia="仿宋_GB2312" w:cs="仿宋_GB2312"/>
          <w:color w:val="auto"/>
          <w:sz w:val="32"/>
          <w:szCs w:val="32"/>
          <w:lang w:val="en-US" w:eastAsia="zh-CN"/>
        </w:rPr>
        <w:t>及时处置火情火险。</w:t>
      </w:r>
    </w:p>
    <w:p>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Times New Roman" w:hAnsi="Times New Roman" w:eastAsia="仿宋_GB2312" w:cs="Times New Roman"/>
          <w:sz w:val="32"/>
          <w:szCs w:val="32"/>
          <w:lang w:val="en-US" w:eastAsia="zh-CN"/>
        </w:rPr>
        <w:t>4</w:t>
      </w:r>
      <w:r>
        <w:rPr>
          <w:rFonts w:hint="eastAsia" w:ascii="仿宋_GB2312" w:hAnsi="仿宋_GB2312" w:eastAsia="仿宋_GB2312" w:cs="仿宋_GB2312"/>
          <w:color w:val="auto"/>
          <w:sz w:val="32"/>
          <w:szCs w:val="32"/>
          <w:lang w:val="en-US" w:eastAsia="zh-CN"/>
        </w:rPr>
        <w:t>.会务服务。负责会议室设备设施日常巡查和会议服务（含会前准备、会中服务、会后清理）等。</w:t>
      </w:r>
    </w:p>
    <w:p>
      <w:pPr>
        <w:snapToGrid w:val="0"/>
        <w:spacing w:line="540" w:lineRule="exact"/>
        <w:ind w:firstLine="640" w:firstLineChars="200"/>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三、商务要求</w:t>
      </w:r>
    </w:p>
    <w:p>
      <w:pPr>
        <w:spacing w:line="59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kern w:val="0"/>
          <w:sz w:val="32"/>
          <w:szCs w:val="32"/>
        </w:rPr>
        <w:t>1.服务期间：</w:t>
      </w:r>
      <w:r>
        <w:rPr>
          <w:rFonts w:hint="default" w:ascii="Times New Roman" w:hAnsi="Times New Roman" w:eastAsia="仿宋_GB2312" w:cs="Times New Roman"/>
          <w:color w:val="auto"/>
          <w:sz w:val="32"/>
          <w:szCs w:val="32"/>
        </w:rPr>
        <w:t>202</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w:t>
      </w:r>
      <w:r>
        <w:rPr>
          <w:rFonts w:hint="eastAsia" w:ascii="Times New Roman" w:hAnsi="Times New Roman" w:eastAsia="仿宋_GB2312" w:cs="Times New Roman"/>
          <w:color w:val="auto"/>
          <w:sz w:val="32"/>
          <w:szCs w:val="32"/>
          <w:lang w:val="en-US" w:eastAsia="zh-CN"/>
        </w:rPr>
        <w:t>10</w:t>
      </w:r>
      <w:r>
        <w:rPr>
          <w:rFonts w:hint="default" w:ascii="Times New Roman" w:hAnsi="Times New Roman" w:eastAsia="仿宋_GB2312" w:cs="Times New Roman"/>
          <w:color w:val="auto"/>
          <w:sz w:val="32"/>
          <w:szCs w:val="32"/>
        </w:rPr>
        <w:t>月</w:t>
      </w:r>
      <w:r>
        <w:rPr>
          <w:rFonts w:hint="eastAsia"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日至202</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w:t>
      </w:r>
      <w:r>
        <w:rPr>
          <w:rFonts w:hint="eastAsia" w:ascii="Times New Roman" w:hAnsi="Times New Roman" w:eastAsia="仿宋_GB2312" w:cs="Times New Roman"/>
          <w:color w:val="auto"/>
          <w:sz w:val="32"/>
          <w:szCs w:val="32"/>
          <w:lang w:val="en-US" w:eastAsia="zh-CN"/>
        </w:rPr>
        <w:t>12</w:t>
      </w:r>
      <w:r>
        <w:rPr>
          <w:rFonts w:hint="default" w:ascii="Times New Roman" w:hAnsi="Times New Roman" w:eastAsia="仿宋_GB2312" w:cs="Times New Roman"/>
          <w:color w:val="auto"/>
          <w:sz w:val="32"/>
          <w:szCs w:val="32"/>
        </w:rPr>
        <w:t>月</w:t>
      </w:r>
      <w:r>
        <w:rPr>
          <w:rFonts w:hint="eastAsia" w:ascii="Times New Roman" w:hAnsi="Times New Roman" w:eastAsia="仿宋_GB2312" w:cs="Times New Roman"/>
          <w:color w:val="auto"/>
          <w:sz w:val="32"/>
          <w:szCs w:val="32"/>
          <w:lang w:val="en-US" w:eastAsia="zh-CN"/>
        </w:rPr>
        <w:t>31</w:t>
      </w:r>
      <w:r>
        <w:rPr>
          <w:rFonts w:hint="default" w:ascii="Times New Roman" w:hAnsi="Times New Roman" w:eastAsia="仿宋_GB2312" w:cs="Times New Roman"/>
          <w:color w:val="auto"/>
          <w:sz w:val="32"/>
          <w:szCs w:val="32"/>
        </w:rPr>
        <w:t>日。</w:t>
      </w:r>
    </w:p>
    <w:p>
      <w:pPr>
        <w:pStyle w:val="5"/>
        <w:snapToGrid w:val="0"/>
        <w:spacing w:line="540" w:lineRule="exact"/>
        <w:ind w:firstLine="627"/>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2.报价要求：供应商报价为包干价，报价需包含本项目的全部内容，金额不得超过预算金额，否则做无效标处理。</w:t>
      </w:r>
    </w:p>
    <w:p>
      <w:pPr>
        <w:pStyle w:val="5"/>
        <w:snapToGrid w:val="0"/>
        <w:spacing w:line="540" w:lineRule="exact"/>
        <w:ind w:firstLine="627"/>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3.付款方式：成交供应商与采购人签订合同后，按</w:t>
      </w:r>
      <w:r>
        <w:rPr>
          <w:rFonts w:hint="default" w:ascii="Times New Roman" w:hAnsi="Times New Roman" w:eastAsia="仿宋_GB2312" w:cs="Times New Roman"/>
          <w:color w:val="auto"/>
          <w:kern w:val="0"/>
          <w:sz w:val="32"/>
          <w:szCs w:val="32"/>
          <w:lang w:eastAsia="zh-CN"/>
        </w:rPr>
        <w:t>照</w:t>
      </w:r>
      <w:r>
        <w:rPr>
          <w:rFonts w:hint="default" w:ascii="Times New Roman" w:hAnsi="Times New Roman" w:eastAsia="仿宋_GB2312" w:cs="Times New Roman"/>
          <w:color w:val="auto"/>
          <w:kern w:val="0"/>
          <w:sz w:val="32"/>
          <w:szCs w:val="32"/>
        </w:rPr>
        <w:t>合同约定向成交供应商支付服务费用。</w:t>
      </w:r>
    </w:p>
    <w:p>
      <w:pPr>
        <w:pStyle w:val="5"/>
        <w:snapToGrid w:val="0"/>
        <w:spacing w:line="540" w:lineRule="exact"/>
        <w:ind w:firstLine="627"/>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4.供应商应针对本项目制定</w:t>
      </w:r>
      <w:r>
        <w:rPr>
          <w:rFonts w:hint="eastAsia" w:ascii="Times New Roman" w:hAnsi="Times New Roman" w:eastAsia="仿宋_GB2312" w:cs="Times New Roman"/>
          <w:color w:val="auto"/>
          <w:kern w:val="0"/>
          <w:sz w:val="32"/>
          <w:szCs w:val="32"/>
          <w:lang w:eastAsia="zh-CN"/>
        </w:rPr>
        <w:t>相应的</w:t>
      </w:r>
      <w:r>
        <w:rPr>
          <w:rFonts w:hint="default" w:ascii="Times New Roman" w:hAnsi="Times New Roman" w:eastAsia="仿宋_GB2312" w:cs="Times New Roman"/>
          <w:color w:val="auto"/>
          <w:kern w:val="0"/>
          <w:sz w:val="32"/>
          <w:szCs w:val="32"/>
        </w:rPr>
        <w:t>应急预案，并建立物业管理的内控制度。</w:t>
      </w:r>
    </w:p>
    <w:p>
      <w:pPr>
        <w:snapToGrid w:val="0"/>
        <w:spacing w:line="540" w:lineRule="exact"/>
        <w:ind w:firstLine="640" w:firstLineChars="200"/>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四、其他要求</w:t>
      </w:r>
    </w:p>
    <w:p>
      <w:pPr>
        <w:pStyle w:val="5"/>
        <w:snapToGrid w:val="0"/>
        <w:spacing w:line="540" w:lineRule="exact"/>
        <w:ind w:firstLine="627"/>
        <w:jc w:val="both"/>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文件描述未尽内容，由双方在签订合同时补充完善，但不得对文件确定的事项和成交供应商提交的响应文件作实质性修改。凡与合同有关而引起的一切争议，双方应首先通过友好协商解决。如协商不成，双方</w:t>
      </w:r>
      <w:r>
        <w:rPr>
          <w:rFonts w:hint="eastAsia" w:ascii="Times New Roman" w:hAnsi="Times New Roman" w:eastAsia="仿宋_GB2312" w:cs="Times New Roman"/>
          <w:color w:val="auto"/>
          <w:kern w:val="0"/>
          <w:sz w:val="32"/>
          <w:szCs w:val="32"/>
          <w:lang w:val="en-US" w:eastAsia="zh-CN"/>
        </w:rPr>
        <w:t>统一</w:t>
      </w:r>
      <w:r>
        <w:rPr>
          <w:rFonts w:hint="default" w:ascii="Times New Roman" w:hAnsi="Times New Roman" w:eastAsia="仿宋_GB2312" w:cs="Times New Roman"/>
          <w:color w:val="auto"/>
          <w:kern w:val="0"/>
          <w:sz w:val="32"/>
          <w:szCs w:val="32"/>
        </w:rPr>
        <w:t>向武汉仲裁委员会提起仲裁。</w:t>
      </w:r>
    </w:p>
    <w:p>
      <w:pPr>
        <w:rPr>
          <w:rFonts w:hint="default"/>
        </w:rPr>
      </w:pPr>
    </w:p>
    <w:p/>
    <w:sectPr>
      <w:footerReference r:id="rId3" w:type="default"/>
      <w:pgSz w:w="11906" w:h="16838"/>
      <w:pgMar w:top="2098" w:right="1474" w:bottom="1984"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-128905</wp:posOffset>
              </wp:positionV>
              <wp:extent cx="773430" cy="274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73430" cy="274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0.15pt;height:21.65pt;width:60.9pt;mso-position-horizontal:outside;mso-position-horizontal-relative:margin;z-index:251659264;mso-width-relative:page;mso-height-relative:page;" filled="f" stroked="f" coordsize="21600,21600" o:gfxdata="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XlKMx1QAAAAcBAAAP&#10;AAAAAAAAAAEAIAAAACIAAABkcnMvZG93bnJldi54bWxQSwECFAAUAAAACACHTuJAbICeGBsCAAAT&#10;BAAADgAAAAAAAAABACAAAAAkAQAAZHJzL2Uyb0RvYy54bWxQSwUGAAAAAAYABgBZAQAAsQUAAAAA&#10;">
              <v:fill on="f" focussize="0,0"/>
              <v:stroke on="f" weight="0.5pt"/>
              <v:imagedata o:title=""/>
              <o:lock v:ext="edit" aspectratio="f"/>
              <v:textbox inset="0mm,0mm,0mm,0mm">
                <w:txbxContent>
                  <w:p>
                    <w:pPr>
                      <w:pStyle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8373D3"/>
    <w:rsid w:val="708373D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szCs w:val="18"/>
    </w:rPr>
  </w:style>
  <w:style w:type="paragraph" w:customStyle="1" w:styleId="5">
    <w:name w:val="00正文"/>
    <w:basedOn w:val="1"/>
    <w:qFormat/>
    <w:uiPriority w:val="0"/>
    <w:pPr>
      <w:spacing w:line="300" w:lineRule="auto"/>
      <w:ind w:firstLine="412" w:firstLineChars="196"/>
      <w:jc w:val="left"/>
    </w:pPr>
    <w:rPr>
      <w:rFonts w:ascii="宋体" w:hAnsi="宋体" w:cs="宋体"/>
      <w:color w:val="00000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武汉市安监局</Company>
  <Pages>1</Pages>
  <Words>0</Words>
  <Characters>0</Characters>
  <Lines>0</Lines>
  <Paragraphs>0</Paragraphs>
  <TotalTime>1</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2025-09-28T03:21:00Z</dcterms:created>
  <dc:creator>潘小明</dc:creator>
  <cp:lastModifiedBy>潘小明</cp:lastModifiedBy>
  <dcterms:modified xsi:type="dcterms:W3CDTF">2025-09-28T03:23:12Z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