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6" w:lineRule="atLeast"/>
        <w:ind w:firstLine="482" w:firstLineChars="200"/>
        <w:jc w:val="center"/>
        <w:rPr>
          <w:rFonts w:hint="eastAsia" w:cs="宋体" w:asciiTheme="minorEastAsia" w:hAnsiTheme="minorEastAsia" w:eastAsiaTheme="minorEastAsia"/>
          <w:szCs w:val="21"/>
        </w:rPr>
      </w:pPr>
      <w:bookmarkStart w:id="8" w:name="_GoBack"/>
      <w:bookmarkEnd w:id="8"/>
      <w:r>
        <w:rPr>
          <w:rFonts w:hint="eastAsia" w:cs="宋体" w:asciiTheme="minorEastAsia" w:hAnsiTheme="minorEastAsia" w:eastAsiaTheme="minorEastAsia"/>
          <w:b/>
          <w:szCs w:val="21"/>
        </w:rPr>
        <w:t>校园互联网维护服务项目-采购需求</w:t>
      </w:r>
    </w:p>
    <w:p>
      <w:pPr>
        <w:numPr>
          <w:ilvl w:val="0"/>
          <w:numId w:val="1"/>
        </w:numPr>
        <w:spacing w:line="576" w:lineRule="atLeast"/>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b/>
          <w:bCs/>
          <w:szCs w:val="21"/>
          <w:lang w:val="en-US" w:eastAsia="zh-CN"/>
        </w:rPr>
        <w:t>服务范围</w:t>
      </w:r>
      <w:r>
        <w:rPr>
          <w:rFonts w:hint="eastAsia" w:cs="宋体" w:asciiTheme="minorEastAsia" w:hAnsiTheme="minorEastAsia" w:eastAsiaTheme="minorEastAsia"/>
          <w:szCs w:val="21"/>
          <w:lang w:val="en-US" w:eastAsia="zh-CN"/>
        </w:rPr>
        <w:t>：</w:t>
      </w:r>
    </w:p>
    <w:p>
      <w:pPr>
        <w:numPr>
          <w:ilvl w:val="0"/>
          <w:numId w:val="0"/>
        </w:numPr>
        <w:spacing w:line="576" w:lineRule="atLeast"/>
        <w:ind w:firstLine="48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包括但不限于</w:t>
      </w:r>
      <w:r>
        <w:rPr>
          <w:rFonts w:hint="eastAsia" w:cs="宋体" w:asciiTheme="minorEastAsia" w:hAnsiTheme="minorEastAsia" w:eastAsiaTheme="minorEastAsia"/>
          <w:szCs w:val="21"/>
          <w:lang w:eastAsia="zh-CN"/>
        </w:rPr>
        <w:t>：</w:t>
      </w:r>
      <w:r>
        <w:rPr>
          <w:rFonts w:hint="eastAsia" w:cs="宋体" w:asciiTheme="minorEastAsia" w:hAnsiTheme="minorEastAsia" w:eastAsiaTheme="minorEastAsia"/>
          <w:szCs w:val="21"/>
        </w:rPr>
        <w:t>学校有线、无线、职工和学生宿舍区的网络故障</w:t>
      </w:r>
      <w:r>
        <w:rPr>
          <w:rFonts w:hint="eastAsia" w:cs="宋体" w:asciiTheme="minorEastAsia" w:hAnsiTheme="minorEastAsia" w:eastAsiaTheme="minorEastAsia"/>
          <w:szCs w:val="21"/>
          <w:lang w:eastAsia="zh-CN"/>
        </w:rPr>
        <w:t>、</w:t>
      </w:r>
      <w:r>
        <w:rPr>
          <w:rFonts w:hint="eastAsia" w:cs="宋体" w:asciiTheme="minorEastAsia" w:hAnsiTheme="minorEastAsia" w:eastAsiaTheme="minorEastAsia"/>
          <w:szCs w:val="21"/>
          <w:lang w:val="en-US" w:eastAsia="zh-CN"/>
        </w:rPr>
        <w:t>网络终端设备故障</w:t>
      </w:r>
      <w:r>
        <w:rPr>
          <w:rFonts w:hint="eastAsia" w:cs="宋体" w:asciiTheme="minorEastAsia" w:hAnsiTheme="minorEastAsia" w:eastAsiaTheme="minorEastAsia"/>
          <w:szCs w:val="21"/>
        </w:rPr>
        <w:t>和网络安全维保等。</w:t>
      </w:r>
    </w:p>
    <w:p>
      <w:pPr>
        <w:pStyle w:val="11"/>
        <w:numPr>
          <w:ilvl w:val="0"/>
          <w:numId w:val="0"/>
        </w:numPr>
        <w:spacing w:line="576" w:lineRule="atLeast"/>
        <w:ind w:leftChars="0"/>
        <w:jc w:val="left"/>
        <w:rPr>
          <w:rFonts w:cs="宋体" w:asciiTheme="minorEastAsia" w:hAnsiTheme="minorEastAsia" w:eastAsiaTheme="minorEastAsia"/>
          <w:b/>
          <w:bCs/>
          <w:color w:val="000000"/>
          <w:kern w:val="0"/>
          <w:sz w:val="24"/>
          <w:szCs w:val="21"/>
          <w:lang w:val="zh-CN" w:bidi="zh-CN"/>
        </w:rPr>
      </w:pPr>
      <w:bookmarkStart w:id="0" w:name="_Toc12892"/>
      <w:bookmarkStart w:id="1" w:name="_Toc24633853"/>
      <w:bookmarkStart w:id="2" w:name="_Toc339378680"/>
      <w:bookmarkStart w:id="3" w:name="_Toc338065594"/>
      <w:r>
        <w:rPr>
          <w:rFonts w:hint="eastAsia" w:cs="宋体" w:asciiTheme="minorEastAsia" w:hAnsiTheme="minorEastAsia" w:eastAsiaTheme="minorEastAsia"/>
          <w:b/>
          <w:bCs/>
          <w:color w:val="000000"/>
          <w:kern w:val="0"/>
          <w:sz w:val="24"/>
          <w:szCs w:val="21"/>
          <w:lang w:val="en-US" w:bidi="zh-CN"/>
        </w:rPr>
        <w:t>二、</w:t>
      </w:r>
      <w:r>
        <w:rPr>
          <w:rFonts w:hint="eastAsia" w:cs="宋体" w:asciiTheme="minorEastAsia" w:hAnsiTheme="minorEastAsia" w:eastAsiaTheme="minorEastAsia"/>
          <w:b/>
          <w:bCs/>
          <w:color w:val="000000"/>
          <w:kern w:val="0"/>
          <w:sz w:val="24"/>
          <w:szCs w:val="21"/>
          <w:lang w:val="zh-CN" w:bidi="zh-CN"/>
        </w:rPr>
        <w:t>服务内容</w:t>
      </w:r>
      <w:bookmarkEnd w:id="0"/>
      <w:bookmarkEnd w:id="1"/>
    </w:p>
    <w:p>
      <w:pPr>
        <w:pStyle w:val="11"/>
        <w:spacing w:line="576" w:lineRule="atLeast"/>
        <w:jc w:val="left"/>
        <w:rPr>
          <w:rFonts w:hint="eastAsia" w:cs="宋体" w:asciiTheme="minorEastAsia" w:hAnsiTheme="minorEastAsia" w:eastAsiaTheme="minorEastAsia"/>
          <w:color w:val="000000"/>
          <w:kern w:val="0"/>
          <w:sz w:val="24"/>
          <w:szCs w:val="21"/>
          <w:highlight w:val="none"/>
          <w:lang w:val="en-US" w:bidi="zh-CN"/>
        </w:rPr>
      </w:pPr>
      <w:r>
        <w:rPr>
          <w:rFonts w:hint="eastAsia" w:cs="宋体" w:asciiTheme="minorEastAsia" w:hAnsiTheme="minorEastAsia" w:eastAsiaTheme="minorEastAsia"/>
          <w:color w:val="000000"/>
          <w:kern w:val="0"/>
          <w:sz w:val="24"/>
          <w:szCs w:val="21"/>
          <w:highlight w:val="none"/>
          <w:lang w:val="zh-CN" w:bidi="zh-CN"/>
        </w:rPr>
        <w:t>（</w:t>
      </w:r>
      <w:r>
        <w:rPr>
          <w:rFonts w:hint="eastAsia" w:cs="宋体" w:asciiTheme="minorEastAsia" w:hAnsiTheme="minorEastAsia" w:eastAsiaTheme="minorEastAsia"/>
          <w:color w:val="000000"/>
          <w:kern w:val="0"/>
          <w:sz w:val="24"/>
          <w:szCs w:val="21"/>
          <w:highlight w:val="none"/>
          <w:lang w:val="en-US" w:bidi="zh-CN"/>
        </w:rPr>
        <w:t>一</w:t>
      </w:r>
      <w:r>
        <w:rPr>
          <w:rFonts w:hint="eastAsia" w:cs="宋体" w:asciiTheme="minorEastAsia" w:hAnsiTheme="minorEastAsia" w:eastAsiaTheme="minorEastAsia"/>
          <w:color w:val="000000"/>
          <w:kern w:val="0"/>
          <w:sz w:val="24"/>
          <w:szCs w:val="21"/>
          <w:highlight w:val="none"/>
          <w:lang w:val="zh-CN" w:bidi="zh-CN"/>
        </w:rPr>
        <w:t>）</w:t>
      </w:r>
      <w:r>
        <w:rPr>
          <w:rFonts w:hint="eastAsia" w:cs="宋体" w:asciiTheme="minorEastAsia" w:hAnsiTheme="minorEastAsia" w:eastAsiaTheme="minorEastAsia"/>
          <w:color w:val="000000"/>
          <w:kern w:val="0"/>
          <w:sz w:val="24"/>
          <w:szCs w:val="21"/>
          <w:highlight w:val="none"/>
          <w:lang w:val="en-US" w:bidi="zh-CN"/>
        </w:rPr>
        <w:t>网络维护服务</w:t>
      </w:r>
    </w:p>
    <w:tbl>
      <w:tblPr>
        <w:tblStyle w:val="6"/>
        <w:tblW w:w="897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1150"/>
        <w:gridCol w:w="4987"/>
        <w:gridCol w:w="925"/>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序号</w:t>
            </w:r>
          </w:p>
        </w:tc>
        <w:tc>
          <w:tcPr>
            <w:tcW w:w="1150"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服务内容</w:t>
            </w:r>
          </w:p>
        </w:tc>
        <w:tc>
          <w:tcPr>
            <w:tcW w:w="4987"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服务内容说明</w:t>
            </w:r>
          </w:p>
        </w:tc>
        <w:tc>
          <w:tcPr>
            <w:tcW w:w="925"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频率</w:t>
            </w:r>
          </w:p>
        </w:tc>
        <w:tc>
          <w:tcPr>
            <w:tcW w:w="1425"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5" w:hRule="atLeast"/>
        </w:trPr>
        <w:tc>
          <w:tcPr>
            <w:tcW w:w="488" w:type="dxa"/>
            <w:vAlign w:val="center"/>
          </w:tcPr>
          <w:p>
            <w:pPr>
              <w:pStyle w:val="11"/>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11</w:t>
            </w:r>
          </w:p>
        </w:tc>
        <w:tc>
          <w:tcPr>
            <w:tcW w:w="1150"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驻场服务</w:t>
            </w:r>
          </w:p>
        </w:tc>
        <w:tc>
          <w:tcPr>
            <w:tcW w:w="4987" w:type="dxa"/>
            <w:vAlign w:val="center"/>
          </w:tcPr>
          <w:p>
            <w:pPr>
              <w:pStyle w:val="11"/>
              <w:spacing w:line="240" w:lineRule="auto"/>
              <w:ind w:left="0" w:leftChars="0" w:firstLine="0" w:firstLineChars="0"/>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1.服务范围：</w:t>
            </w:r>
          </w:p>
          <w:p>
            <w:pPr>
              <w:pStyle w:val="11"/>
              <w:spacing w:line="240" w:lineRule="auto"/>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提供服务期限为1年，服务期内，在工作日提供2名服务工程师进行驻场服务，提供日常网络及网络安全运维工作。驻场服务时间：工作日8:00-17:30；节假日及寒暑假有比赛、考试、重大活动等工作，以学校通知为准。</w:t>
            </w:r>
          </w:p>
          <w:p>
            <w:pPr>
              <w:pStyle w:val="11"/>
              <w:spacing w:line="240" w:lineRule="auto"/>
              <w:ind w:left="0" w:leftChars="0" w:firstLine="0" w:firstLineChars="0"/>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2.服务内容：</w:t>
            </w:r>
          </w:p>
          <w:p>
            <w:pPr>
              <w:pStyle w:val="11"/>
              <w:spacing w:line="240" w:lineRule="auto"/>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驻场人员职责：</w:t>
            </w:r>
          </w:p>
          <w:p>
            <w:pPr>
              <w:pStyle w:val="11"/>
              <w:numPr>
                <w:ilvl w:val="0"/>
                <w:numId w:val="2"/>
              </w:numPr>
              <w:spacing w:line="240" w:lineRule="auto"/>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日常巡检：完成日常巡检工作，并输出《安全巡检日报》，包含校园内所有网络设备，包括但不限于安全设备、服务器、交换机等的硬件巡检；安全设备运行状态巡检记录；安全事件检查与处置；安全日志分析：安全日志、访问日志；如查找异常IP、攻击、访问并进行封堵处置等。每季度输出《安全巡检季报》，一年后形成《安全巡检年报》。</w:t>
            </w:r>
          </w:p>
          <w:p>
            <w:pPr>
              <w:pStyle w:val="11"/>
              <w:numPr>
                <w:ilvl w:val="0"/>
                <w:numId w:val="2"/>
              </w:numPr>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网络故障处理：进行问题诊断和处置，快速恢复通信，并提供加固和优化方案。</w:t>
            </w:r>
          </w:p>
          <w:p>
            <w:pPr>
              <w:pStyle w:val="11"/>
              <w:numPr>
                <w:ilvl w:val="0"/>
                <w:numId w:val="2"/>
              </w:numPr>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网络变更请求响应：包括IP地址分配、机房内网络结构调整、设备入网对接等。</w:t>
            </w:r>
          </w:p>
          <w:p>
            <w:pPr>
              <w:pStyle w:val="11"/>
              <w:numPr>
                <w:ilvl w:val="0"/>
                <w:numId w:val="2"/>
              </w:numPr>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梳理维护范围内所有网络设备，</w:t>
            </w:r>
            <w:r>
              <w:rPr>
                <w:rFonts w:hint="eastAsia" w:cs="宋体" w:asciiTheme="minorEastAsia" w:hAnsiTheme="minorEastAsia" w:eastAsiaTheme="minorEastAsia"/>
                <w:color w:val="auto"/>
                <w:kern w:val="0"/>
                <w:sz w:val="24"/>
                <w:szCs w:val="21"/>
                <w:highlight w:val="none"/>
                <w:vertAlign w:val="baseline"/>
                <w:lang w:val="en-US" w:bidi="zh-CN"/>
              </w:rPr>
              <w:t>对</w:t>
            </w:r>
            <w:r>
              <w:rPr>
                <w:rFonts w:hint="default" w:cs="宋体" w:asciiTheme="minorEastAsia" w:hAnsiTheme="minorEastAsia" w:eastAsiaTheme="minorEastAsia"/>
                <w:color w:val="auto"/>
                <w:kern w:val="0"/>
                <w:sz w:val="24"/>
                <w:szCs w:val="21"/>
                <w:highlight w:val="none"/>
                <w:vertAlign w:val="baseline"/>
                <w:lang w:val="en-US" w:bidi="zh-CN"/>
              </w:rPr>
              <w:t>设备及线路、接头进行标识。汇总信息，编制和更新《网络设备维护清单》</w:t>
            </w:r>
            <w:r>
              <w:rPr>
                <w:rFonts w:hint="eastAsia" w:cs="宋体" w:asciiTheme="minorEastAsia" w:hAnsiTheme="minorEastAsia" w:eastAsiaTheme="minorEastAsia"/>
                <w:color w:val="auto"/>
                <w:kern w:val="0"/>
                <w:sz w:val="24"/>
                <w:szCs w:val="21"/>
                <w:highlight w:val="none"/>
                <w:vertAlign w:val="baseline"/>
                <w:lang w:val="en-US" w:bidi="zh-CN"/>
              </w:rPr>
              <w:t>；</w:t>
            </w:r>
            <w:r>
              <w:rPr>
                <w:rFonts w:hint="default" w:cs="宋体" w:asciiTheme="minorEastAsia" w:hAnsiTheme="minorEastAsia" w:eastAsiaTheme="minorEastAsia"/>
                <w:color w:val="auto"/>
                <w:kern w:val="0"/>
                <w:sz w:val="24"/>
                <w:szCs w:val="21"/>
                <w:highlight w:val="none"/>
                <w:vertAlign w:val="baseline"/>
                <w:lang w:val="en-US" w:bidi="zh-CN"/>
              </w:rPr>
              <w:t>梳理网络结构和网络承载业务情况，绘制和更新《网络拓扑图》</w:t>
            </w:r>
            <w:r>
              <w:rPr>
                <w:rFonts w:hint="eastAsia" w:cs="宋体" w:asciiTheme="minorEastAsia" w:hAnsiTheme="minorEastAsia" w:eastAsiaTheme="minorEastAsia"/>
                <w:color w:val="auto"/>
                <w:kern w:val="0"/>
                <w:sz w:val="24"/>
                <w:szCs w:val="21"/>
                <w:highlight w:val="none"/>
                <w:vertAlign w:val="baseline"/>
                <w:lang w:val="en-US" w:bidi="zh-CN"/>
              </w:rPr>
              <w:t>；</w:t>
            </w:r>
            <w:r>
              <w:rPr>
                <w:rFonts w:hint="default" w:cs="宋体" w:asciiTheme="minorEastAsia" w:hAnsiTheme="minorEastAsia" w:eastAsiaTheme="minorEastAsia"/>
                <w:color w:val="auto"/>
                <w:kern w:val="0"/>
                <w:sz w:val="24"/>
                <w:szCs w:val="21"/>
                <w:highlight w:val="none"/>
                <w:vertAlign w:val="baseline"/>
                <w:lang w:val="en-US" w:bidi="zh-CN"/>
              </w:rPr>
              <w:t>对各网络设备进行登录测试，绘制《设备维护登录信息表》。</w:t>
            </w:r>
          </w:p>
          <w:p>
            <w:pPr>
              <w:pStyle w:val="11"/>
              <w:numPr>
                <w:ilvl w:val="0"/>
                <w:numId w:val="2"/>
              </w:numPr>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对核心网络设备进行配置备份，保障设备故障后能够进行快速恢复。</w:t>
            </w:r>
          </w:p>
          <w:p>
            <w:pPr>
              <w:pStyle w:val="11"/>
              <w:numPr>
                <w:ilvl w:val="0"/>
                <w:numId w:val="2"/>
              </w:numPr>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根据网络安全原则和业务承载情况，合理进行网络资源规划，结构上提升网络稳定性，降低故障率。输出《IP地址规划表》。</w:t>
            </w:r>
          </w:p>
          <w:p>
            <w:pPr>
              <w:pStyle w:val="11"/>
              <w:numPr>
                <w:ilvl w:val="0"/>
                <w:numId w:val="2"/>
              </w:numPr>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梳理网络设备网络控制策略，清理无效冗余策略，补充缺失网络策略，加固网络安全性</w:t>
            </w:r>
            <w:r>
              <w:rPr>
                <w:rFonts w:hint="eastAsia" w:cs="宋体" w:asciiTheme="minorEastAsia" w:hAnsiTheme="minorEastAsia" w:eastAsiaTheme="minorEastAsia"/>
                <w:color w:val="auto"/>
                <w:kern w:val="0"/>
                <w:sz w:val="24"/>
                <w:szCs w:val="21"/>
                <w:highlight w:val="none"/>
                <w:vertAlign w:val="baseline"/>
                <w:lang w:val="en-US" w:bidi="zh-CN"/>
              </w:rPr>
              <w:t>。</w:t>
            </w:r>
          </w:p>
          <w:p>
            <w:pPr>
              <w:pStyle w:val="11"/>
              <w:spacing w:line="240" w:lineRule="auto"/>
              <w:ind w:left="0" w:leftChars="0" w:firstLine="480" w:firstLineChars="200"/>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（8）设备维护：包括但不限于2间中心机房内所有设备，含精密空调（定期除尘、清洗、更换过滤网等）、电源、服务器、交换机、无线AP等以及校园电井内的设备。</w:t>
            </w:r>
          </w:p>
          <w:p>
            <w:pPr>
              <w:pStyle w:val="11"/>
              <w:spacing w:line="240" w:lineRule="auto"/>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（9）安全合规检查：配合学校进行安全方面合规检查，配合完成文档工作。</w:t>
            </w:r>
          </w:p>
          <w:p>
            <w:pPr>
              <w:pStyle w:val="11"/>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(10)对学校校园主干网络，包括传统以太网（核心、汇聚、楼层）进行运维保障工作;</w:t>
            </w:r>
          </w:p>
          <w:p>
            <w:pPr>
              <w:pStyle w:val="11"/>
              <w:spacing w:line="240" w:lineRule="auto"/>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(11)对校园主干网络进行网络分析，及时发现和解决网络故障；</w:t>
            </w:r>
          </w:p>
          <w:p>
            <w:pPr>
              <w:pStyle w:val="11"/>
              <w:spacing w:line="240" w:lineRule="auto"/>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(12)对学校访问互联网流量进行管理，协助学校制定合理化的流量控制策略，发现异常流量时，分析找出异常流量产生的原因；</w:t>
            </w:r>
          </w:p>
          <w:p>
            <w:pPr>
              <w:pStyle w:val="11"/>
              <w:spacing w:line="240" w:lineRule="auto"/>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(13)整理及清洁2间中心机房及仓库，将中心机房内没有使用的设备拆除，分类标识放入仓库；整理仓库，将设备及耗材分类放置。</w:t>
            </w:r>
          </w:p>
          <w:p>
            <w:pPr>
              <w:pStyle w:val="11"/>
              <w:spacing w:line="240" w:lineRule="auto"/>
              <w:ind w:left="0" w:leftChars="0" w:firstLine="480" w:firstLineChars="200"/>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维护维修过程中出现故障的网络设备和所需的网络相关耗材，需免费为甲方提供。</w:t>
            </w:r>
          </w:p>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3.驻场</w:t>
            </w:r>
            <w:r>
              <w:rPr>
                <w:rFonts w:hint="default" w:cs="宋体" w:asciiTheme="minorEastAsia" w:hAnsiTheme="minorEastAsia" w:eastAsiaTheme="minorEastAsia"/>
                <w:color w:val="auto"/>
                <w:kern w:val="0"/>
                <w:sz w:val="24"/>
                <w:szCs w:val="21"/>
                <w:highlight w:val="none"/>
                <w:vertAlign w:val="baseline"/>
                <w:lang w:val="en-US" w:bidi="zh-CN"/>
              </w:rPr>
              <w:t>人员资质：</w:t>
            </w:r>
          </w:p>
          <w:p>
            <w:pPr>
              <w:pStyle w:val="11"/>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ascii="宋体" w:hAnsi="宋体" w:cs="宋体"/>
                <w:color w:val="auto"/>
                <w:sz w:val="24"/>
                <w:szCs w:val="21"/>
              </w:rPr>
              <w:t>有3年以上</w:t>
            </w:r>
            <w:r>
              <w:rPr>
                <w:rFonts w:hint="eastAsia" w:ascii="宋体" w:hAnsi="宋体" w:cs="宋体"/>
                <w:color w:val="auto"/>
                <w:sz w:val="24"/>
                <w:szCs w:val="21"/>
                <w:lang w:val="en-US" w:eastAsia="zh-CN"/>
              </w:rPr>
              <w:t>驻场服务</w:t>
            </w:r>
            <w:r>
              <w:rPr>
                <w:rFonts w:hint="eastAsia" w:ascii="宋体" w:hAnsi="宋体" w:cs="宋体"/>
                <w:color w:val="auto"/>
                <w:sz w:val="24"/>
                <w:szCs w:val="21"/>
              </w:rPr>
              <w:t>工作经验</w:t>
            </w:r>
            <w:r>
              <w:rPr>
                <w:rFonts w:hint="eastAsia" w:ascii="宋体" w:hAnsi="宋体" w:cs="宋体"/>
                <w:color w:val="auto"/>
                <w:sz w:val="24"/>
                <w:szCs w:val="21"/>
                <w:lang w:eastAsia="zh-CN"/>
              </w:rPr>
              <w:t>，</w:t>
            </w:r>
            <w:r>
              <w:rPr>
                <w:rFonts w:hint="default" w:cs="宋体" w:asciiTheme="minorEastAsia" w:hAnsiTheme="minorEastAsia" w:eastAsiaTheme="minorEastAsia"/>
                <w:color w:val="auto"/>
                <w:kern w:val="0"/>
                <w:sz w:val="24"/>
                <w:szCs w:val="21"/>
                <w:highlight w:val="none"/>
                <w:vertAlign w:val="baseline"/>
                <w:lang w:val="en-US" w:bidi="zh-CN"/>
              </w:rPr>
              <w:t>须具备中国网络安全审查技术与认证中心认证的信息安全保障人员认证证书（安全运维专业级OM/PL）。</w:t>
            </w:r>
          </w:p>
        </w:tc>
        <w:tc>
          <w:tcPr>
            <w:tcW w:w="925"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2</w:t>
            </w:r>
            <w:r>
              <w:rPr>
                <w:rFonts w:hint="default" w:cs="宋体" w:asciiTheme="minorEastAsia" w:hAnsiTheme="minorEastAsia" w:eastAsiaTheme="minorEastAsia"/>
                <w:color w:val="auto"/>
                <w:kern w:val="0"/>
                <w:sz w:val="24"/>
                <w:szCs w:val="21"/>
                <w:highlight w:val="none"/>
                <w:vertAlign w:val="baseline"/>
                <w:lang w:val="en-US" w:bidi="zh-CN"/>
              </w:rPr>
              <w:t>人/1年</w:t>
            </w:r>
          </w:p>
        </w:tc>
        <w:tc>
          <w:tcPr>
            <w:tcW w:w="1425" w:type="dxa"/>
            <w:vAlign w:val="center"/>
          </w:tcPr>
          <w:p>
            <w:pPr>
              <w:pStyle w:val="11"/>
              <w:numPr>
                <w:ilvl w:val="0"/>
                <w:numId w:val="3"/>
              </w:numPr>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《安全巡检日报》</w:t>
            </w:r>
          </w:p>
          <w:p>
            <w:pPr>
              <w:pStyle w:val="11"/>
              <w:numPr>
                <w:ilvl w:val="0"/>
                <w:numId w:val="3"/>
              </w:numPr>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《安全巡检季报》</w:t>
            </w:r>
          </w:p>
          <w:p>
            <w:pPr>
              <w:pStyle w:val="11"/>
              <w:numPr>
                <w:ilvl w:val="0"/>
                <w:numId w:val="3"/>
              </w:numPr>
              <w:spacing w:line="240" w:lineRule="auto"/>
              <w:ind w:left="0" w:leftChars="0" w:firstLine="0" w:firstLineChars="0"/>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《安全巡检年报》</w:t>
            </w:r>
          </w:p>
          <w:p>
            <w:pPr>
              <w:pStyle w:val="11"/>
              <w:widowControl w:val="0"/>
              <w:numPr>
                <w:ilvl w:val="0"/>
                <w:numId w:val="0"/>
              </w:numPr>
              <w:spacing w:line="240" w:lineRule="auto"/>
              <w:jc w:val="both"/>
              <w:rPr>
                <w:rFonts w:hint="eastAsia"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4.</w:t>
            </w:r>
            <w:r>
              <w:rPr>
                <w:rFonts w:hint="default" w:cs="宋体" w:asciiTheme="minorEastAsia" w:hAnsiTheme="minorEastAsia" w:eastAsiaTheme="minorEastAsia"/>
                <w:color w:val="auto"/>
                <w:kern w:val="0"/>
                <w:sz w:val="24"/>
                <w:szCs w:val="21"/>
                <w:highlight w:val="none"/>
                <w:vertAlign w:val="baseline"/>
                <w:lang w:val="en-US" w:bidi="zh-CN"/>
              </w:rPr>
              <w:t>《网络设备维护清单》《网络拓扑图》</w:t>
            </w:r>
          </w:p>
          <w:p>
            <w:pPr>
              <w:pStyle w:val="11"/>
              <w:widowControl w:val="0"/>
              <w:numPr>
                <w:ilvl w:val="0"/>
                <w:numId w:val="0"/>
              </w:numPr>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5.</w:t>
            </w:r>
            <w:r>
              <w:rPr>
                <w:rFonts w:hint="default" w:cs="宋体" w:asciiTheme="minorEastAsia" w:hAnsiTheme="minorEastAsia" w:eastAsiaTheme="minorEastAsia"/>
                <w:color w:val="auto"/>
                <w:kern w:val="0"/>
                <w:sz w:val="24"/>
                <w:szCs w:val="21"/>
                <w:highlight w:val="none"/>
                <w:vertAlign w:val="baseline"/>
                <w:lang w:val="en-US" w:bidi="zh-CN"/>
              </w:rPr>
              <w:t>《设备维护登录信息表》</w:t>
            </w:r>
          </w:p>
          <w:p>
            <w:pPr>
              <w:pStyle w:val="11"/>
              <w:widowControl w:val="0"/>
              <w:numPr>
                <w:ilvl w:val="0"/>
                <w:numId w:val="0"/>
              </w:numPr>
              <w:spacing w:line="240" w:lineRule="auto"/>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6.</w:t>
            </w:r>
            <w:r>
              <w:rPr>
                <w:rFonts w:hint="default" w:cs="宋体" w:asciiTheme="minorEastAsia" w:hAnsiTheme="minorEastAsia" w:eastAsiaTheme="minorEastAsia"/>
                <w:color w:val="auto"/>
                <w:kern w:val="0"/>
                <w:sz w:val="24"/>
                <w:szCs w:val="21"/>
                <w:highlight w:val="none"/>
                <w:vertAlign w:val="baseline"/>
                <w:lang w:val="en-US" w:bidi="zh-CN"/>
              </w:rPr>
              <w:t>《IP地址规划表》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2</w:t>
            </w:r>
          </w:p>
        </w:tc>
        <w:tc>
          <w:tcPr>
            <w:tcW w:w="1150"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资产梳理服务</w:t>
            </w:r>
          </w:p>
        </w:tc>
        <w:tc>
          <w:tcPr>
            <w:tcW w:w="4987" w:type="dxa"/>
            <w:vAlign w:val="center"/>
          </w:tcPr>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1.</w:t>
            </w:r>
            <w:r>
              <w:rPr>
                <w:rFonts w:hint="default" w:cs="宋体" w:asciiTheme="minorEastAsia" w:hAnsiTheme="minorEastAsia" w:eastAsiaTheme="minorEastAsia"/>
                <w:color w:val="auto"/>
                <w:kern w:val="0"/>
                <w:sz w:val="24"/>
                <w:szCs w:val="21"/>
                <w:highlight w:val="none"/>
                <w:vertAlign w:val="baseline"/>
                <w:lang w:val="en-US" w:bidi="zh-CN"/>
              </w:rPr>
              <w:t>服务范围：</w:t>
            </w:r>
          </w:p>
          <w:p>
            <w:pPr>
              <w:pStyle w:val="11"/>
              <w:spacing w:line="240" w:lineRule="auto"/>
              <w:ind w:left="0" w:leftChars="0" w:firstLine="480" w:firstLineChars="20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提供服务期限为1年，本次服务工具由投标人自行准备，在服务期限内，每季度对学校中心机房资产进行梳理。</w:t>
            </w:r>
          </w:p>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2.</w:t>
            </w:r>
            <w:r>
              <w:rPr>
                <w:rFonts w:hint="default" w:cs="宋体" w:asciiTheme="minorEastAsia" w:hAnsiTheme="minorEastAsia" w:eastAsiaTheme="minorEastAsia"/>
                <w:color w:val="auto"/>
                <w:kern w:val="0"/>
                <w:sz w:val="24"/>
                <w:szCs w:val="21"/>
                <w:highlight w:val="none"/>
                <w:vertAlign w:val="baseline"/>
                <w:lang w:val="en-US" w:bidi="zh-CN"/>
              </w:rPr>
              <w:t>服务内容：</w:t>
            </w:r>
          </w:p>
          <w:p>
            <w:pPr>
              <w:pStyle w:val="11"/>
              <w:spacing w:line="240" w:lineRule="auto"/>
              <w:ind w:left="0" w:leftChars="0" w:firstLine="480" w:firstLineChars="20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每季度对中心机房的业务系统、网络设备、安全产品、服务器、</w:t>
            </w:r>
            <w:r>
              <w:rPr>
                <w:rFonts w:hint="eastAsia" w:cs="宋体" w:asciiTheme="minorEastAsia" w:hAnsiTheme="minorEastAsia" w:eastAsiaTheme="minorEastAsia"/>
                <w:color w:val="auto"/>
                <w:kern w:val="0"/>
                <w:sz w:val="24"/>
                <w:szCs w:val="21"/>
                <w:highlight w:val="none"/>
                <w:vertAlign w:val="baseline"/>
                <w:lang w:val="en-US" w:bidi="zh-CN"/>
              </w:rPr>
              <w:t>交换机、</w:t>
            </w:r>
            <w:r>
              <w:rPr>
                <w:rFonts w:hint="default" w:cs="宋体" w:asciiTheme="minorEastAsia" w:hAnsiTheme="minorEastAsia" w:eastAsiaTheme="minorEastAsia"/>
                <w:color w:val="auto"/>
                <w:kern w:val="0"/>
                <w:sz w:val="24"/>
                <w:szCs w:val="21"/>
                <w:highlight w:val="none"/>
                <w:vertAlign w:val="baseline"/>
                <w:lang w:val="en-US" w:bidi="zh-CN"/>
              </w:rPr>
              <w:t>网段</w:t>
            </w:r>
            <w:r>
              <w:rPr>
                <w:rFonts w:hint="eastAsia" w:cs="宋体" w:asciiTheme="minorEastAsia" w:hAnsiTheme="minorEastAsia" w:eastAsiaTheme="minorEastAsia"/>
                <w:color w:val="auto"/>
                <w:kern w:val="0"/>
                <w:sz w:val="24"/>
                <w:szCs w:val="21"/>
                <w:highlight w:val="none"/>
                <w:vertAlign w:val="baseline"/>
                <w:lang w:val="en-US" w:bidi="zh-CN"/>
              </w:rPr>
              <w:t>等</w:t>
            </w:r>
            <w:r>
              <w:rPr>
                <w:rFonts w:hint="default" w:cs="宋体" w:asciiTheme="minorEastAsia" w:hAnsiTheme="minorEastAsia" w:eastAsiaTheme="minorEastAsia"/>
                <w:color w:val="auto"/>
                <w:kern w:val="0"/>
                <w:sz w:val="24"/>
                <w:szCs w:val="21"/>
                <w:highlight w:val="none"/>
                <w:vertAlign w:val="baseline"/>
                <w:lang w:val="en-US" w:bidi="zh-CN"/>
              </w:rPr>
              <w:t>资产进行统计归纳，</w:t>
            </w:r>
            <w:r>
              <w:rPr>
                <w:rFonts w:hint="eastAsia" w:cs="宋体" w:asciiTheme="minorEastAsia" w:hAnsiTheme="minorEastAsia" w:eastAsiaTheme="minorEastAsia"/>
                <w:color w:val="auto"/>
                <w:kern w:val="0"/>
                <w:sz w:val="24"/>
                <w:szCs w:val="21"/>
                <w:highlight w:val="none"/>
                <w:vertAlign w:val="baseline"/>
                <w:lang w:val="en-US" w:bidi="zh-CN"/>
              </w:rPr>
              <w:t>输出</w:t>
            </w:r>
            <w:r>
              <w:rPr>
                <w:rFonts w:hint="eastAsia" w:cs="宋体" w:asciiTheme="minorEastAsia" w:hAnsiTheme="minorEastAsia" w:eastAsiaTheme="minorEastAsia"/>
                <w:color w:val="auto"/>
                <w:kern w:val="0"/>
                <w:sz w:val="24"/>
                <w:szCs w:val="21"/>
                <w:highlight w:val="none"/>
                <w:vertAlign w:val="baseline"/>
                <w:lang w:val="en-US" w:eastAsia="zh-CN" w:bidi="zh-CN"/>
              </w:rPr>
              <w:t>《资产识别表》</w:t>
            </w:r>
            <w:r>
              <w:rPr>
                <w:rFonts w:hint="default" w:cs="宋体" w:asciiTheme="minorEastAsia" w:hAnsiTheme="minorEastAsia" w:eastAsiaTheme="minorEastAsia"/>
                <w:color w:val="auto"/>
                <w:kern w:val="0"/>
                <w:sz w:val="24"/>
                <w:szCs w:val="21"/>
                <w:highlight w:val="none"/>
                <w:vertAlign w:val="baseline"/>
                <w:lang w:val="en-US" w:bidi="zh-CN"/>
              </w:rPr>
              <w:t>，含中心机房内及校园所有教学楼、实训楼、宿舍区内属于信息中心资产的安全设备、服务器、交换机、无线AP等的详细信息，包含</w:t>
            </w:r>
            <w:r>
              <w:rPr>
                <w:rFonts w:hint="eastAsia" w:cs="宋体" w:asciiTheme="minorEastAsia" w:hAnsiTheme="minorEastAsia" w:eastAsiaTheme="minorEastAsia"/>
                <w:color w:val="auto"/>
                <w:kern w:val="0"/>
                <w:sz w:val="24"/>
                <w:szCs w:val="21"/>
                <w:highlight w:val="none"/>
                <w:vertAlign w:val="baseline"/>
                <w:lang w:val="en-US" w:bidi="zh-CN"/>
              </w:rPr>
              <w:t>但不限于</w:t>
            </w:r>
            <w:r>
              <w:rPr>
                <w:rFonts w:hint="default" w:cs="宋体" w:asciiTheme="minorEastAsia" w:hAnsiTheme="minorEastAsia" w:eastAsiaTheme="minorEastAsia"/>
                <w:color w:val="auto"/>
                <w:kern w:val="0"/>
                <w:sz w:val="24"/>
                <w:szCs w:val="21"/>
                <w:highlight w:val="none"/>
                <w:vertAlign w:val="baseline"/>
                <w:lang w:val="en-US" w:bidi="zh-CN"/>
              </w:rPr>
              <w:t>设备名称、规格型号、所在位置、SN码、管理账号、密码、IP地址、网段、开放端口、操作系统等，并和学校资产部门提供的清单交叉比对，发现和补充在用及无登记资产。配合学校进行资产清查及资产报废工作。</w:t>
            </w:r>
          </w:p>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3.</w:t>
            </w:r>
            <w:r>
              <w:rPr>
                <w:rFonts w:hint="default" w:cs="宋体" w:asciiTheme="minorEastAsia" w:hAnsiTheme="minorEastAsia" w:eastAsiaTheme="minorEastAsia"/>
                <w:color w:val="auto"/>
                <w:kern w:val="0"/>
                <w:sz w:val="24"/>
                <w:szCs w:val="21"/>
                <w:highlight w:val="none"/>
                <w:vertAlign w:val="baseline"/>
                <w:lang w:val="en-US" w:bidi="zh-CN"/>
              </w:rPr>
              <w:t>服务工具：</w:t>
            </w:r>
          </w:p>
          <w:p>
            <w:pPr>
              <w:pStyle w:val="11"/>
              <w:spacing w:line="240" w:lineRule="auto"/>
              <w:ind w:left="0" w:leftChars="0" w:firstLine="480" w:firstLineChars="20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服务工具具备以下功能:</w:t>
            </w:r>
          </w:p>
          <w:p>
            <w:pPr>
              <w:pStyle w:val="11"/>
              <w:spacing w:line="240" w:lineRule="auto"/>
              <w:ind w:left="0" w:leftChars="0" w:firstLine="480" w:firstLineChars="20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IP反查域名监测：输入IP或者网段，通过搜索互联网数据，自动获取到IP对应的域名、url链接、网站标题、返回状态码;</w:t>
            </w:r>
          </w:p>
          <w:p>
            <w:pPr>
              <w:pStyle w:val="11"/>
              <w:spacing w:line="240" w:lineRule="auto"/>
              <w:ind w:left="0" w:leftChars="0" w:firstLine="480" w:firstLineChars="20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二级域名扫描:支持二级域名扫描功能，输入一级域名进行一键扫描，通过搜索互联网数据，自动获取到该域名的二级域名、网站标题、解析IP地址;</w:t>
            </w:r>
          </w:p>
          <w:p>
            <w:pPr>
              <w:pStyle w:val="11"/>
              <w:spacing w:line="240" w:lineRule="auto"/>
              <w:ind w:left="0" w:leftChars="0" w:firstLine="480" w:firstLineChars="20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网站资产识别:支持自动识别网站资产信息，包括：“中间件信息、web框架信息、CMS&amp;OA、程序语言”等指纹信息，支持爬取网站后台、ICP备案编号、网站标题、网站返回码等属性;</w:t>
            </w:r>
          </w:p>
          <w:p>
            <w:pPr>
              <w:pStyle w:val="11"/>
              <w:spacing w:line="240" w:lineRule="auto"/>
              <w:ind w:left="0" w:leftChars="0" w:firstLine="0" w:firstLineChars="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eastAsia" w:cs="宋体" w:asciiTheme="minorEastAsia" w:hAnsiTheme="minorEastAsia" w:eastAsiaTheme="minorEastAsia"/>
                <w:color w:val="auto"/>
                <w:kern w:val="0"/>
                <w:sz w:val="24"/>
                <w:szCs w:val="21"/>
                <w:highlight w:val="none"/>
                <w:vertAlign w:val="baseline"/>
                <w:lang w:val="en-US" w:bidi="zh-CN"/>
              </w:rPr>
              <w:t>4.</w:t>
            </w:r>
            <w:r>
              <w:rPr>
                <w:rFonts w:hint="default" w:cs="宋体" w:asciiTheme="minorEastAsia" w:hAnsiTheme="minorEastAsia" w:eastAsiaTheme="minorEastAsia"/>
                <w:color w:val="auto"/>
                <w:kern w:val="0"/>
                <w:sz w:val="24"/>
                <w:szCs w:val="21"/>
                <w:highlight w:val="none"/>
                <w:vertAlign w:val="baseline"/>
                <w:lang w:val="en-US" w:bidi="zh-CN"/>
              </w:rPr>
              <w:t>服务人员资质：</w:t>
            </w:r>
          </w:p>
          <w:p>
            <w:pPr>
              <w:pStyle w:val="11"/>
              <w:spacing w:line="240" w:lineRule="auto"/>
              <w:ind w:left="0" w:leftChars="0" w:firstLine="480" w:firstLineChars="200"/>
              <w:jc w:val="both"/>
              <w:rPr>
                <w:rFonts w:hint="default" w:cs="宋体" w:asciiTheme="minorEastAsia" w:hAnsiTheme="minorEastAsia" w:eastAsiaTheme="minorEastAsia"/>
                <w:color w:val="auto"/>
                <w:kern w:val="0"/>
                <w:sz w:val="24"/>
                <w:szCs w:val="21"/>
                <w:highlight w:val="none"/>
                <w:vertAlign w:val="baseline"/>
                <w:lang w:val="en-US" w:bidi="zh-CN"/>
              </w:rPr>
            </w:pPr>
            <w:r>
              <w:rPr>
                <w:rFonts w:hint="default" w:cs="宋体" w:asciiTheme="minorEastAsia" w:hAnsiTheme="minorEastAsia" w:eastAsiaTheme="minorEastAsia"/>
                <w:color w:val="auto"/>
                <w:kern w:val="0"/>
                <w:sz w:val="24"/>
                <w:szCs w:val="21"/>
                <w:highlight w:val="none"/>
                <w:vertAlign w:val="baseline"/>
                <w:lang w:val="en-US" w:bidi="zh-CN"/>
              </w:rPr>
              <w:t>每次服务人员不得少于1人，服务人员须具备中国网络安全审查技术与认证中心认证的信息安全保障人员认证证书（安全运维专业级OM/PL）。</w:t>
            </w:r>
          </w:p>
        </w:tc>
        <w:tc>
          <w:tcPr>
            <w:tcW w:w="925" w:type="dxa"/>
            <w:vAlign w:val="center"/>
          </w:tcPr>
          <w:p>
            <w:pPr>
              <w:keepNext w:val="0"/>
              <w:keepLines w:val="0"/>
              <w:widowControl/>
              <w:suppressLineNumbers w:val="0"/>
              <w:jc w:val="center"/>
              <w:textAlignment w:val="center"/>
              <w:rPr>
                <w:rFonts w:hint="default" w:cs="宋体" w:asciiTheme="minorEastAsia" w:hAnsiTheme="minorEastAsia" w:eastAsiaTheme="minorEastAsia"/>
                <w:color w:val="auto"/>
                <w:kern w:val="0"/>
                <w:sz w:val="24"/>
                <w:szCs w:val="21"/>
                <w:highlight w:val="none"/>
                <w:vertAlign w:val="baseline"/>
                <w:lang w:val="en-US" w:bidi="zh-CN"/>
              </w:rPr>
            </w:pPr>
            <w:r>
              <w:rPr>
                <w:rFonts w:hint="eastAsia" w:ascii="宋体" w:hAnsi="宋体" w:eastAsia="宋体" w:cs="宋体"/>
                <w:i w:val="0"/>
                <w:iCs w:val="0"/>
                <w:color w:val="auto"/>
                <w:kern w:val="0"/>
                <w:sz w:val="22"/>
                <w:szCs w:val="22"/>
                <w:u w:val="none"/>
                <w:lang w:val="en-US" w:eastAsia="zh-CN" w:bidi="ar"/>
              </w:rPr>
              <w:t>4次/年</w:t>
            </w:r>
          </w:p>
        </w:tc>
        <w:tc>
          <w:tcPr>
            <w:tcW w:w="1425" w:type="dxa"/>
            <w:vAlign w:val="center"/>
          </w:tcPr>
          <w:p>
            <w:pPr>
              <w:keepNext w:val="0"/>
              <w:keepLines w:val="0"/>
              <w:widowControl/>
              <w:numPr>
                <w:ilvl w:val="0"/>
                <w:numId w:val="4"/>
              </w:numPr>
              <w:suppressLineNumbers w:val="0"/>
              <w:jc w:val="left"/>
              <w:textAlignment w:val="center"/>
              <w:rPr>
                <w:rStyle w:val="13"/>
                <w:color w:val="auto"/>
                <w:lang w:val="en-US" w:eastAsia="zh-CN" w:bidi="ar"/>
              </w:rPr>
            </w:pPr>
            <w:r>
              <w:rPr>
                <w:rStyle w:val="13"/>
                <w:color w:val="auto"/>
                <w:lang w:val="en-US" w:eastAsia="zh-CN" w:bidi="ar"/>
              </w:rPr>
              <w:t>《资产梳理季报》</w:t>
            </w:r>
          </w:p>
          <w:p>
            <w:pPr>
              <w:keepNext w:val="0"/>
              <w:keepLines w:val="0"/>
              <w:widowControl/>
              <w:numPr>
                <w:ilvl w:val="0"/>
                <w:numId w:val="0"/>
              </w:numPr>
              <w:suppressLineNumbers w:val="0"/>
              <w:jc w:val="left"/>
              <w:textAlignment w:val="center"/>
              <w:rPr>
                <w:rFonts w:hint="default" w:cs="宋体" w:asciiTheme="minorEastAsia" w:hAnsiTheme="minorEastAsia" w:eastAsiaTheme="minorEastAsia"/>
                <w:color w:val="auto"/>
                <w:kern w:val="0"/>
                <w:sz w:val="24"/>
                <w:szCs w:val="21"/>
                <w:highlight w:val="none"/>
                <w:vertAlign w:val="baseline"/>
                <w:lang w:val="en-US" w:bidi="zh-CN"/>
              </w:rPr>
            </w:pPr>
            <w:r>
              <w:rPr>
                <w:rStyle w:val="13"/>
                <w:rFonts w:hint="eastAsia"/>
                <w:color w:val="auto"/>
                <w:lang w:val="en-US" w:eastAsia="zh-CN" w:bidi="ar"/>
              </w:rPr>
              <w:t>2.</w:t>
            </w:r>
            <w:r>
              <w:rPr>
                <w:rStyle w:val="14"/>
                <w:rFonts w:hint="eastAsia"/>
                <w:color w:val="auto"/>
                <w:lang w:val="en-US" w:eastAsia="zh-CN" w:bidi="ar"/>
              </w:rPr>
              <w:t>《资产识别表》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3</w:t>
            </w:r>
          </w:p>
        </w:tc>
        <w:tc>
          <w:tcPr>
            <w:tcW w:w="1150"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网站监测服务</w:t>
            </w:r>
          </w:p>
        </w:tc>
        <w:tc>
          <w:tcPr>
            <w:tcW w:w="4987" w:type="dxa"/>
            <w:vAlign w:val="center"/>
          </w:tcPr>
          <w:p>
            <w:pPr>
              <w:keepNext w:val="0"/>
              <w:keepLines w:val="0"/>
              <w:widowControl/>
              <w:numPr>
                <w:ilvl w:val="0"/>
                <w:numId w:val="5"/>
              </w:numPr>
              <w:suppressLineNumbers w:val="0"/>
              <w:spacing w:line="240" w:lineRule="auto"/>
              <w:jc w:val="left"/>
              <w:textAlignment w:val="center"/>
              <w:rPr>
                <w:rFonts w:hint="eastAsia" w:asciiTheme="minorEastAsia" w:hAnsiTheme="minorEastAsia" w:eastAsiaTheme="minorEastAsia" w:cstheme="minorEastAsia"/>
                <w:color w:val="auto"/>
                <w:kern w:val="0"/>
                <w:sz w:val="24"/>
                <w:szCs w:val="24"/>
                <w:highlight w:val="none"/>
                <w:vertAlign w:val="baseline"/>
                <w:lang w:val="en-US" w:eastAsia="zh-CN" w:bidi="zh-CN"/>
              </w:rPr>
            </w:pPr>
            <w:r>
              <w:rPr>
                <w:rFonts w:hint="eastAsia" w:asciiTheme="minorEastAsia" w:hAnsiTheme="minorEastAsia" w:eastAsiaTheme="minorEastAsia" w:cstheme="minorEastAsia"/>
                <w:color w:val="auto"/>
                <w:kern w:val="0"/>
                <w:sz w:val="24"/>
                <w:szCs w:val="24"/>
                <w:highlight w:val="none"/>
                <w:vertAlign w:val="baseline"/>
                <w:lang w:val="en-US" w:eastAsia="zh-CN" w:bidi="zh-CN"/>
              </w:rPr>
              <w:t>服务范围：</w:t>
            </w:r>
          </w:p>
          <w:p>
            <w:pPr>
              <w:keepNext w:val="0"/>
              <w:keepLines w:val="0"/>
              <w:widowControl/>
              <w:numPr>
                <w:ilvl w:val="0"/>
                <w:numId w:val="0"/>
              </w:numPr>
              <w:suppressLineNumbers w:val="0"/>
              <w:spacing w:line="240" w:lineRule="auto"/>
              <w:ind w:firstLine="480" w:firstLineChars="20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color w:val="auto"/>
                <w:kern w:val="0"/>
                <w:sz w:val="24"/>
                <w:szCs w:val="24"/>
                <w:highlight w:val="none"/>
                <w:vertAlign w:val="baseline"/>
                <w:lang w:val="en-US" w:eastAsia="zh-CN" w:bidi="zh-CN"/>
              </w:rPr>
              <w:t>提供服务期限为1年，本次服务工具由投标人自行准备，在服务期限内，对学校网站进行监测。</w:t>
            </w:r>
            <w:r>
              <w:rPr>
                <w:rFonts w:hint="eastAsia" w:asciiTheme="minorEastAsia" w:hAnsiTheme="minorEastAsia" w:eastAsiaTheme="minorEastAsia" w:cstheme="minorEastAsia"/>
                <w:color w:val="auto"/>
                <w:kern w:val="0"/>
                <w:sz w:val="24"/>
                <w:szCs w:val="24"/>
                <w:highlight w:val="none"/>
                <w:vertAlign w:val="baseline"/>
                <w:lang w:val="en-US" w:eastAsia="zh-CN" w:bidi="zh-CN"/>
              </w:rPr>
              <w:br w:type="textWrapping"/>
            </w:r>
            <w:r>
              <w:rPr>
                <w:rFonts w:hint="eastAsia" w:asciiTheme="minorEastAsia" w:hAnsiTheme="minorEastAsia" w:eastAsiaTheme="minorEastAsia" w:cstheme="minorEastAsia"/>
                <w:color w:val="auto"/>
                <w:kern w:val="0"/>
                <w:sz w:val="24"/>
                <w:szCs w:val="24"/>
                <w:highlight w:val="none"/>
                <w:vertAlign w:val="baseline"/>
                <w:lang w:val="en-US" w:eastAsia="zh-CN" w:bidi="zh-CN"/>
              </w:rPr>
              <w:t>2.服务内容：</w:t>
            </w:r>
            <w:r>
              <w:rPr>
                <w:rFonts w:hint="eastAsia" w:asciiTheme="minorEastAsia" w:hAnsiTheme="minorEastAsia" w:eastAsiaTheme="minorEastAsia" w:cstheme="minorEastAsia"/>
                <w:color w:val="auto"/>
                <w:kern w:val="0"/>
                <w:sz w:val="24"/>
                <w:szCs w:val="24"/>
                <w:highlight w:val="none"/>
                <w:vertAlign w:val="baseline"/>
                <w:lang w:val="en-US" w:eastAsia="zh-CN" w:bidi="zh-CN"/>
              </w:rPr>
              <w:br w:type="textWrapping"/>
            </w:r>
            <w:r>
              <w:rPr>
                <w:rFonts w:hint="eastAsia" w:asciiTheme="minorEastAsia" w:hAnsiTheme="minorEastAsia" w:eastAsiaTheme="minorEastAsia" w:cstheme="minorEastAsia"/>
                <w:color w:val="auto"/>
                <w:kern w:val="0"/>
                <w:sz w:val="24"/>
                <w:szCs w:val="24"/>
                <w:highlight w:val="none"/>
                <w:vertAlign w:val="baseline"/>
                <w:lang w:val="en-US" w:eastAsia="zh-CN" w:bidi="zh-CN"/>
              </w:rPr>
              <w:t xml:space="preserve">    对用户所有网站进行7*24小时网站监测，包含:“漏洞、篡改、黑链、敏感文件、敏感词、网页木马、可用性、域名劫持、网站主机环境安全监测”等多个维度开展实时监测， 并通过企微、钉钉、邮件等告警形式提供风险预警。</w:t>
            </w:r>
          </w:p>
        </w:tc>
        <w:tc>
          <w:tcPr>
            <w:tcW w:w="92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1年</w:t>
            </w:r>
          </w:p>
        </w:tc>
        <w:tc>
          <w:tcPr>
            <w:tcW w:w="1425"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《网站监测报告》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4</w:t>
            </w:r>
          </w:p>
        </w:tc>
        <w:tc>
          <w:tcPr>
            <w:tcW w:w="1150"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基线核查服务</w:t>
            </w:r>
          </w:p>
        </w:tc>
        <w:tc>
          <w:tcPr>
            <w:tcW w:w="4987" w:type="dxa"/>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服务范围：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firstLine="480" w:firstLineChars="200"/>
              <w:jc w:val="left"/>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提供服务期限为1 年，本次服务工具由投标人自行准备，在服务期限提供四次对学校授权的重要资产进行安全基线核查，目标对象可为：网络设备、操作系统、中间件等。</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2.服务内容：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firstLine="482" w:firstLineChars="20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Style w:val="16"/>
                <w:rFonts w:hint="eastAsia" w:asciiTheme="minorEastAsia" w:hAnsiTheme="minorEastAsia" w:eastAsiaTheme="minorEastAsia" w:cstheme="minorEastAsia"/>
                <w:color w:val="auto"/>
                <w:sz w:val="24"/>
                <w:szCs w:val="24"/>
                <w:lang w:val="en-US" w:eastAsia="zh-CN" w:bidi="ar"/>
              </w:rPr>
              <w:t>网络设备</w:t>
            </w:r>
            <w:r>
              <w:rPr>
                <w:rFonts w:hint="eastAsia" w:asciiTheme="minorEastAsia" w:hAnsiTheme="minorEastAsia" w:eastAsiaTheme="minorEastAsia" w:cstheme="minorEastAsia"/>
                <w:i w:val="0"/>
                <w:iCs w:val="0"/>
                <w:color w:val="auto"/>
                <w:kern w:val="0"/>
                <w:sz w:val="24"/>
                <w:szCs w:val="24"/>
                <w:u w:val="none"/>
                <w:lang w:val="en-US" w:eastAsia="zh-CN" w:bidi="ar"/>
              </w:rPr>
              <w:t>：OS 安全、帐号和口令管理、认证和授权策略、网络与服务、访问控制策略、通讯协议、路由协议、日志审核策略、加密管理、设备其他安全配置等；</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 xml:space="preserve">    </w:t>
            </w:r>
            <w:r>
              <w:rPr>
                <w:rStyle w:val="16"/>
                <w:rFonts w:hint="eastAsia" w:asciiTheme="minorEastAsia" w:hAnsiTheme="minorEastAsia" w:eastAsiaTheme="minorEastAsia" w:cstheme="minorEastAsia"/>
                <w:color w:val="auto"/>
                <w:sz w:val="24"/>
                <w:szCs w:val="24"/>
                <w:lang w:val="en-US" w:eastAsia="zh-CN" w:bidi="ar"/>
              </w:rPr>
              <w:t>操作系统</w:t>
            </w:r>
            <w:r>
              <w:rPr>
                <w:rFonts w:hint="eastAsia" w:asciiTheme="minorEastAsia" w:hAnsiTheme="minorEastAsia" w:eastAsiaTheme="minorEastAsia" w:cstheme="minorEastAsia"/>
                <w:i w:val="0"/>
                <w:iCs w:val="0"/>
                <w:color w:val="auto"/>
                <w:kern w:val="0"/>
                <w:sz w:val="24"/>
                <w:szCs w:val="24"/>
                <w:u w:val="none"/>
                <w:lang w:val="en-US" w:eastAsia="zh-CN" w:bidi="ar"/>
              </w:rPr>
              <w:t>：系统漏洞补丁管理、帐号和口令管理、认证、授权策略、网络与服务、进程和启动、文件系统权限、访问控制、通讯协议、日志审核功能、剩余信息保护、其他安全配置等；</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 xml:space="preserve">    </w:t>
            </w:r>
            <w:r>
              <w:rPr>
                <w:rStyle w:val="16"/>
                <w:rFonts w:hint="eastAsia" w:asciiTheme="minorEastAsia" w:hAnsiTheme="minorEastAsia" w:eastAsiaTheme="minorEastAsia" w:cstheme="minorEastAsia"/>
                <w:color w:val="auto"/>
                <w:sz w:val="24"/>
                <w:szCs w:val="24"/>
                <w:lang w:val="en-US" w:eastAsia="zh-CN" w:bidi="ar"/>
              </w:rPr>
              <w:t>中间件</w:t>
            </w:r>
            <w:r>
              <w:rPr>
                <w:rFonts w:hint="eastAsia" w:asciiTheme="minorEastAsia" w:hAnsiTheme="minorEastAsia" w:eastAsiaTheme="minorEastAsia" w:cstheme="minorEastAsia"/>
                <w:i w:val="0"/>
                <w:iCs w:val="0"/>
                <w:color w:val="auto"/>
                <w:kern w:val="0"/>
                <w:sz w:val="24"/>
                <w:szCs w:val="24"/>
                <w:u w:val="none"/>
                <w:lang w:val="en-US" w:eastAsia="zh-CN" w:bidi="ar"/>
              </w:rPr>
              <w:t>：漏洞补丁管理、帐号和口令管理、认证、授权策略、通讯协议、日志审核功能、其他安全配置等；</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 xml:space="preserve">    </w:t>
            </w:r>
            <w:r>
              <w:rPr>
                <w:rStyle w:val="16"/>
                <w:rFonts w:hint="eastAsia" w:asciiTheme="minorEastAsia" w:hAnsiTheme="minorEastAsia" w:eastAsiaTheme="minorEastAsia" w:cstheme="minorEastAsia"/>
                <w:color w:val="auto"/>
                <w:sz w:val="24"/>
                <w:szCs w:val="24"/>
                <w:lang w:val="en-US" w:eastAsia="zh-CN" w:bidi="ar"/>
              </w:rPr>
              <w:t>数据库</w:t>
            </w:r>
            <w:r>
              <w:rPr>
                <w:rFonts w:hint="eastAsia" w:asciiTheme="minorEastAsia" w:hAnsiTheme="minorEastAsia" w:eastAsiaTheme="minorEastAsia" w:cstheme="minorEastAsia"/>
                <w:i w:val="0"/>
                <w:iCs w:val="0"/>
                <w:color w:val="auto"/>
                <w:kern w:val="0"/>
                <w:sz w:val="24"/>
                <w:szCs w:val="24"/>
                <w:u w:val="none"/>
                <w:lang w:val="en-US" w:eastAsia="zh-CN" w:bidi="ar"/>
              </w:rPr>
              <w:t>:漏洞补丁管理、帐号和口令管理、认证、授权策略、访问控制、通讯协议、日志审核功能、其他安全配置等。</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3.服务工具：</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 xml:space="preserve">    高危漏洞检测：基线核查服务对官方发布的高危漏洞进行检测识别。</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4.服务人员资质：</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 xml:space="preserve">  每次服务人员不得少于1人，服务人员须具备中国网络安全审查技术与认证中心认证的信息安全保障人员认证证书（安全运维专业级OM/PL）。</w:t>
            </w:r>
          </w:p>
        </w:tc>
        <w:tc>
          <w:tcPr>
            <w:tcW w:w="92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4次/年</w:t>
            </w:r>
          </w:p>
        </w:tc>
        <w:tc>
          <w:tcPr>
            <w:tcW w:w="1425"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《基线核查季报》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5</w:t>
            </w:r>
          </w:p>
        </w:tc>
        <w:tc>
          <w:tcPr>
            <w:tcW w:w="1150"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漏洞扫描服务</w:t>
            </w:r>
          </w:p>
        </w:tc>
        <w:tc>
          <w:tcPr>
            <w:tcW w:w="4987" w:type="dxa"/>
            <w:vAlign w:val="bottom"/>
          </w:tcPr>
          <w:p>
            <w:pPr>
              <w:keepNext w:val="0"/>
              <w:keepLines w:val="0"/>
              <w:widowControl/>
              <w:numPr>
                <w:ilvl w:val="0"/>
                <w:numId w:val="7"/>
              </w:numPr>
              <w:suppressLineNumbers w:val="0"/>
              <w:spacing w:line="240" w:lineRule="auto"/>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服务范围：</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服务期限为1 年，本次服务工具由投标人自行准备，在服务期限内共四次对学校授权的资产进行扫描服务。</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2.服务内容：</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提交漏洞扫描工具的情况、漏洞扫描工作方案（包括但不限于：目标对象、扫描时间、风险规避措施等）及漏洞扫描申请，学校授权后，方可进行。提交针对性的加固意见。基于漏洞扫描结果、资产重要性及漏洞的威胁情报，对漏洞进行重要性排序， 针对无法修复的漏洞，提供安全加固建议。</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3.服务工具：</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服务工具具备以下功能：</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b/>
                <w:bCs/>
                <w:i w:val="0"/>
                <w:iCs w:val="0"/>
                <w:color w:val="auto"/>
                <w:kern w:val="0"/>
                <w:sz w:val="24"/>
                <w:szCs w:val="24"/>
                <w:u w:val="none"/>
                <w:lang w:val="en-US" w:eastAsia="zh-CN" w:bidi="ar"/>
              </w:rPr>
              <w:t>主机漏洞管理</w:t>
            </w:r>
            <w:r>
              <w:rPr>
                <w:rFonts w:hint="eastAsia" w:asciiTheme="minorEastAsia" w:hAnsiTheme="minorEastAsia" w:eastAsiaTheme="minorEastAsia" w:cstheme="minorEastAsia"/>
                <w:i w:val="0"/>
                <w:iCs w:val="0"/>
                <w:color w:val="auto"/>
                <w:kern w:val="0"/>
                <w:sz w:val="24"/>
                <w:szCs w:val="24"/>
                <w:u w:val="none"/>
                <w:lang w:val="en-US" w:eastAsia="zh-CN" w:bidi="ar"/>
              </w:rPr>
              <w:t>：支持漏洞跟踪管理，能够自动对漏洞状态进行处置，自动识别“新增、已修复、未修复”的漏洞，同时支持人工方式进行漏洞状态处置，以及编写漏洞备注。</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系统漏洞扫描：支持网络设备、安全设备、服务器、存储、操作系统、数据库、中间件等漏洞扫描，并可选择紧急漏洞进行单独评估，实现紧急漏洞批量排查；</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Web 漏洞扫描：支持 SQL 注入、XSS、敏感信息泄露等 OWASP TOP 10 应用漏洞 扫描，并可选择紧急漏洞进行单独评估，如 JBoss 反序列化漏洞、Apache Struts2远程代码执行系列漏洞、Weblogic 反序列化专项漏洞、Jenkins Java 反序列化 远程代码执行漏洞；</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弱口令扫描：支持 FTP、IMAP、Microsoft SQL、MYSQL、POP3、telnet、VNC、 SSH、RDP、ORACLE 等服务类型，通过密码字典模板进行口令爆破。</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4.服务人员资质：</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每次服务人员不得少于1人，服务人员须具备中国网络安全审查技术与认证中心认证的信息安全保障人员认证证书（安全运维专业级OM/PL）。</w:t>
            </w:r>
          </w:p>
        </w:tc>
        <w:tc>
          <w:tcPr>
            <w:tcW w:w="92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4次/年</w:t>
            </w:r>
          </w:p>
        </w:tc>
        <w:tc>
          <w:tcPr>
            <w:tcW w:w="1425"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《漏洞扫描季报》</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6</w:t>
            </w:r>
          </w:p>
        </w:tc>
        <w:tc>
          <w:tcPr>
            <w:tcW w:w="1150"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主机安全协助加固服务</w:t>
            </w:r>
          </w:p>
        </w:tc>
        <w:tc>
          <w:tcPr>
            <w:tcW w:w="4987" w:type="dxa"/>
            <w:vAlign w:val="bottom"/>
          </w:tcPr>
          <w:p>
            <w:pPr>
              <w:keepNext w:val="0"/>
              <w:keepLines w:val="0"/>
              <w:widowControl/>
              <w:numPr>
                <w:ilvl w:val="0"/>
                <w:numId w:val="8"/>
              </w:numPr>
              <w:suppressLineNumbers w:val="0"/>
              <w:spacing w:line="240" w:lineRule="auto"/>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服务范围：</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提供服务期限为1年，本次服务工具投标人自行准备，在服务期限内共四次对漏扫、基线核查中发现的问题协助学校进行整改。</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2.服务内容：</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根据安全漏洞扫描和基线核查的结果，开展查漏补缺的安全整改优化服务，包含但不限于以下内容：对服务器操作系统协助加固服务；根据学校要求对质保期内安全设备库的升级，版本更新；安全策略优化。</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3.服务人员资质：</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每次服务人员不得少于1人，服务人员须具备中国网络安全审查技术与认证中心认证的信息安全保障人员认证证书（安全运维专业级OM/PL）。</w:t>
            </w:r>
          </w:p>
        </w:tc>
        <w:tc>
          <w:tcPr>
            <w:tcW w:w="92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4次/年</w:t>
            </w:r>
          </w:p>
        </w:tc>
        <w:tc>
          <w:tcPr>
            <w:tcW w:w="1425"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《主机安全协助加固季报》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7</w:t>
            </w:r>
          </w:p>
        </w:tc>
        <w:tc>
          <w:tcPr>
            <w:tcW w:w="1150"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安全管理体系完善服务</w:t>
            </w:r>
          </w:p>
        </w:tc>
        <w:tc>
          <w:tcPr>
            <w:tcW w:w="4987" w:type="dxa"/>
            <w:vAlign w:val="bottom"/>
          </w:tcPr>
          <w:p>
            <w:pPr>
              <w:keepNext w:val="0"/>
              <w:keepLines w:val="0"/>
              <w:widowControl/>
              <w:numPr>
                <w:ilvl w:val="0"/>
                <w:numId w:val="9"/>
              </w:numPr>
              <w:suppressLineNumbers w:val="0"/>
              <w:spacing w:line="240" w:lineRule="auto"/>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服务范围：</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提供服务期限为 1 年，服务期内，提供安全制度完善服务。</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2.服务内容：</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 xml:space="preserve">  配合学校进行安全管理体系梳理。</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3.服务人员资质：</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 xml:space="preserve">每次服务人员不得少于1人，服务人员须具备中国网络安全审查技术与认证中心认证的信息安全保障人员认证证书（安全运维专业级OM/PL）。 </w:t>
            </w:r>
          </w:p>
        </w:tc>
        <w:tc>
          <w:tcPr>
            <w:tcW w:w="92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1年</w:t>
            </w:r>
          </w:p>
        </w:tc>
        <w:tc>
          <w:tcPr>
            <w:tcW w:w="1425"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协助学校对相关安全制度进行补充和完善。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8</w:t>
            </w:r>
          </w:p>
        </w:tc>
        <w:tc>
          <w:tcPr>
            <w:tcW w:w="1150"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渗透测试服务</w:t>
            </w:r>
          </w:p>
        </w:tc>
        <w:tc>
          <w:tcPr>
            <w:tcW w:w="4987" w:type="dxa"/>
            <w:vAlign w:val="bottom"/>
          </w:tcPr>
          <w:p>
            <w:pPr>
              <w:keepNext w:val="0"/>
              <w:keepLines w:val="0"/>
              <w:widowControl/>
              <w:numPr>
                <w:ilvl w:val="0"/>
                <w:numId w:val="10"/>
              </w:numPr>
              <w:suppressLineNumbers w:val="0"/>
              <w:spacing w:line="240" w:lineRule="auto"/>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服务范围：</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提供服务期限为 1 年，在服务期限内，对学校指定的 1个业务系统提供 1 次渗透测试服务。</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2.服务内容：</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学校授权后，拟派服务团队中安全人员到学校现场通过模拟黑客攻击行为的方式对1个业务系统进行非破坏性的入侵测试。查找针对应用程序的各种漏洞，帮助学校理解应用系统当前的安全状况，发现在系统复杂结构中的最脆弱链路并针对安全隐患提出解决办法，切实保证信息系统安全。</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须详细说明渗透测试方案，方案包括如下：</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渗透方法和流程；渗透测试风险评估和控制方案；渗透测试采用国内外商业检测工具或自有检测工具；提供渗透测试所面临的主要风险及相应的风险规避措施。</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3.服务人员资质：</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服务人员不得少于1人，服务人员须具备中国信息安全测评中心认证的注册信息安全专业人员证书（注册信息安全工程师CISE）。</w:t>
            </w:r>
          </w:p>
        </w:tc>
        <w:tc>
          <w:tcPr>
            <w:tcW w:w="92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1个业务系统/年</w:t>
            </w:r>
          </w:p>
        </w:tc>
        <w:tc>
          <w:tcPr>
            <w:tcW w:w="1425"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《渗透测试报告》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9</w:t>
            </w:r>
          </w:p>
        </w:tc>
        <w:tc>
          <w:tcPr>
            <w:tcW w:w="1150"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应急响应服务</w:t>
            </w:r>
          </w:p>
        </w:tc>
        <w:tc>
          <w:tcPr>
            <w:tcW w:w="4987" w:type="dxa"/>
            <w:vAlign w:val="bottom"/>
          </w:tcPr>
          <w:p>
            <w:pPr>
              <w:keepNext w:val="0"/>
              <w:keepLines w:val="0"/>
              <w:widowControl/>
              <w:numPr>
                <w:ilvl w:val="0"/>
                <w:numId w:val="11"/>
              </w:numPr>
              <w:suppressLineNumbers w:val="0"/>
              <w:spacing w:line="240" w:lineRule="auto"/>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服务范围：</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服务期限为1年，在服务期限内，按甲方网络安全需求提供应急响应服务。</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2.服务内容：</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接到事件报告，根据事件级别进行不同级别的响应方式，包括电话、现场等；协调其他外部资源进行处理；安全事件溯源分析服务；</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编制应急响应情况报告，说明事件原因、处置措施等。</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对于驻场工程师不能解决的故障，运维方迅速提供二线技术支持服务，安排二线经验丰富的工程师赴现场协助驻场工程师排查故障原因，制定解决方案，并最终排除故障。技术工程师按照规定的时间到达现场，开始不间断工作，直到故障排除。每一次故障提供《应急处置报告》，定期对故障处理情况进行汇总分析，建立并定期更新常见问题库，并对甲方相关技术人员进行培训，使其及时了解常见故障的处理方法，提高故障处理水平。</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3.服务响应时间：</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在校方提出服务要求后，30分钟内响应，2 小时内到达现场并提出解决方案。在响应期间提供24小时电话、远程在线诊断和故障排除、现场响应以及Email支持服务。</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4.服务人员资质：</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每次服务人员不得少于1人，服务人员须具备中国信息安全测评中心认证的注册信息安全专业人员证书（注册信息安全工程师CISE）。</w:t>
            </w:r>
          </w:p>
        </w:tc>
        <w:tc>
          <w:tcPr>
            <w:tcW w:w="92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bookmarkStart w:id="4" w:name="OLE_LINK1"/>
            <w:r>
              <w:rPr>
                <w:rFonts w:hint="eastAsia" w:asciiTheme="minorEastAsia" w:hAnsiTheme="minorEastAsia" w:eastAsiaTheme="minorEastAsia" w:cstheme="minorEastAsia"/>
                <w:i w:val="0"/>
                <w:iCs w:val="0"/>
                <w:color w:val="auto"/>
                <w:kern w:val="0"/>
                <w:sz w:val="24"/>
                <w:szCs w:val="24"/>
                <w:u w:val="none"/>
                <w:lang w:val="en-US" w:eastAsia="zh-CN" w:bidi="ar"/>
              </w:rPr>
              <w:t>按需/年</w:t>
            </w:r>
            <w:bookmarkEnd w:id="4"/>
          </w:p>
        </w:tc>
        <w:tc>
          <w:tcPr>
            <w:tcW w:w="1425"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《应急响应报告》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10</w:t>
            </w:r>
          </w:p>
        </w:tc>
        <w:tc>
          <w:tcPr>
            <w:tcW w:w="1150"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重点时期保障服务</w:t>
            </w:r>
          </w:p>
        </w:tc>
        <w:tc>
          <w:tcPr>
            <w:tcW w:w="4987" w:type="dxa"/>
            <w:vAlign w:val="bottom"/>
          </w:tcPr>
          <w:p>
            <w:pPr>
              <w:keepNext w:val="0"/>
              <w:keepLines w:val="0"/>
              <w:widowControl/>
              <w:numPr>
                <w:ilvl w:val="0"/>
                <w:numId w:val="12"/>
              </w:numPr>
              <w:suppressLineNumbers w:val="0"/>
              <w:spacing w:line="240" w:lineRule="auto"/>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 xml:space="preserve">服务范围： </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提供服务期限为1年，按学校网络安全需求，提供重点时期保障服务；</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2.服务内容：</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在重要时期提供现场安全值守服务，提供具有丰富的应急处理能力和安全服务技术经验的工程师，并安排相关技术人员进行远程值守，期间每日进行安全状况收集、处置、汇报。3.服务人员资质：</w:t>
            </w:r>
          </w:p>
          <w:p>
            <w:pPr>
              <w:keepNext w:val="0"/>
              <w:keepLines w:val="0"/>
              <w:widowControl/>
              <w:numPr>
                <w:ilvl w:val="0"/>
                <w:numId w:val="0"/>
              </w:numPr>
              <w:suppressLineNumbers w:val="0"/>
              <w:spacing w:line="240" w:lineRule="auto"/>
              <w:ind w:firstLine="480" w:firstLineChars="200"/>
              <w:jc w:val="left"/>
              <w:textAlignment w:val="bottom"/>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每次服务人员不得少于1人，服务人员须具备中国网络安全审查技术与认证中心认证的信息安全保障人员认证证书（安全运维专业级OM/PL）。</w:t>
            </w:r>
          </w:p>
        </w:tc>
        <w:tc>
          <w:tcPr>
            <w:tcW w:w="92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按需/年</w:t>
            </w:r>
          </w:p>
        </w:tc>
        <w:tc>
          <w:tcPr>
            <w:tcW w:w="1425" w:type="dxa"/>
            <w:vAlign w:val="center"/>
          </w:tcPr>
          <w:p>
            <w:pPr>
              <w:keepNext w:val="0"/>
              <w:keepLines w:val="0"/>
              <w:widowControl/>
              <w:numPr>
                <w:ilvl w:val="0"/>
                <w:numId w:val="13"/>
              </w:numPr>
              <w:suppressLineNumbers w:val="0"/>
              <w:jc w:val="left"/>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《每日重保服务工作报告》</w:t>
            </w:r>
          </w:p>
          <w:p>
            <w:pPr>
              <w:keepNext w:val="0"/>
              <w:keepLines w:val="0"/>
              <w:widowControl/>
              <w:numPr>
                <w:ilvl w:val="0"/>
                <w:numId w:val="13"/>
              </w:numPr>
              <w:suppressLineNumbers w:val="0"/>
              <w:jc w:val="left"/>
              <w:textAlignment w:val="center"/>
              <w:rPr>
                <w:rFonts w:hint="eastAsia" w:asciiTheme="minorEastAsia" w:hAnsiTheme="minorEastAsia" w:eastAsiaTheme="minorEastAsia" w:cstheme="minorEastAsia"/>
                <w:color w:val="auto"/>
                <w:kern w:val="0"/>
                <w:sz w:val="24"/>
                <w:szCs w:val="24"/>
                <w:highlight w:val="none"/>
                <w:vertAlign w:val="baseline"/>
                <w:lang w:val="en-US" w:bidi="zh-CN"/>
              </w:rPr>
            </w:pPr>
            <w:r>
              <w:rPr>
                <w:rFonts w:hint="eastAsia" w:asciiTheme="minorEastAsia" w:hAnsiTheme="minorEastAsia" w:eastAsiaTheme="minorEastAsia" w:cstheme="minorEastAsia"/>
                <w:i w:val="0"/>
                <w:iCs w:val="0"/>
                <w:color w:val="auto"/>
                <w:kern w:val="0"/>
                <w:sz w:val="24"/>
                <w:szCs w:val="24"/>
                <w:u w:val="none"/>
                <w:lang w:val="en-US" w:eastAsia="zh-CN" w:bidi="ar"/>
              </w:rPr>
              <w:t>《重保总结报告》</w:t>
            </w:r>
          </w:p>
        </w:tc>
      </w:tr>
    </w:tbl>
    <w:p>
      <w:pPr>
        <w:pStyle w:val="11"/>
        <w:numPr>
          <w:ilvl w:val="0"/>
          <w:numId w:val="0"/>
        </w:numPr>
        <w:spacing w:line="576" w:lineRule="atLeast"/>
        <w:ind w:leftChars="0"/>
        <w:jc w:val="left"/>
        <w:rPr>
          <w:rFonts w:hint="eastAsia" w:cs="宋体" w:asciiTheme="minorEastAsia" w:hAnsiTheme="minorEastAsia" w:eastAsiaTheme="minorEastAsia"/>
          <w:color w:val="000000"/>
          <w:kern w:val="0"/>
          <w:sz w:val="24"/>
          <w:szCs w:val="21"/>
          <w:lang w:val="zh-CN" w:bidi="zh-CN"/>
        </w:rPr>
      </w:pPr>
    </w:p>
    <w:p>
      <w:pPr>
        <w:pStyle w:val="11"/>
        <w:numPr>
          <w:ilvl w:val="0"/>
          <w:numId w:val="0"/>
        </w:numPr>
        <w:spacing w:line="576" w:lineRule="atLeast"/>
        <w:ind w:leftChars="0"/>
        <w:jc w:val="left"/>
        <w:rPr>
          <w:rFonts w:cs="宋体" w:asciiTheme="minorEastAsia" w:hAnsiTheme="minorEastAsia" w:eastAsiaTheme="minorEastAsia"/>
          <w:b/>
          <w:bCs/>
          <w:color w:val="000000"/>
          <w:kern w:val="0"/>
          <w:sz w:val="24"/>
          <w:szCs w:val="21"/>
          <w:lang w:val="zh-CN" w:bidi="zh-CN"/>
        </w:rPr>
      </w:pPr>
      <w:r>
        <w:rPr>
          <w:rFonts w:hint="eastAsia" w:cs="宋体" w:asciiTheme="minorEastAsia" w:hAnsiTheme="minorEastAsia" w:eastAsiaTheme="minorEastAsia"/>
          <w:b/>
          <w:bCs/>
          <w:color w:val="000000"/>
          <w:kern w:val="0"/>
          <w:sz w:val="24"/>
          <w:szCs w:val="21"/>
          <w:lang w:val="en-US" w:bidi="zh-CN"/>
        </w:rPr>
        <w:t>三、</w:t>
      </w:r>
      <w:r>
        <w:rPr>
          <w:rFonts w:hint="eastAsia" w:cs="宋体" w:asciiTheme="minorEastAsia" w:hAnsiTheme="minorEastAsia" w:eastAsiaTheme="minorEastAsia"/>
          <w:b/>
          <w:bCs/>
          <w:color w:val="000000"/>
          <w:kern w:val="0"/>
          <w:sz w:val="24"/>
          <w:szCs w:val="21"/>
          <w:lang w:val="zh-CN" w:bidi="zh-CN"/>
        </w:rPr>
        <w:t>服务时间</w:t>
      </w:r>
    </w:p>
    <w:p>
      <w:pPr>
        <w:pStyle w:val="11"/>
        <w:spacing w:line="576" w:lineRule="atLeast"/>
        <w:ind w:left="420" w:firstLine="0"/>
        <w:jc w:val="left"/>
        <w:rPr>
          <w:rFonts w:cs="宋体" w:asciiTheme="minorEastAsia" w:hAnsiTheme="minorEastAsia" w:eastAsiaTheme="minorEastAsia"/>
          <w:color w:val="000000"/>
          <w:kern w:val="0"/>
          <w:sz w:val="24"/>
          <w:szCs w:val="21"/>
          <w:lang w:val="zh-CN" w:bidi="zh-CN"/>
        </w:rPr>
      </w:pPr>
      <w:r>
        <w:rPr>
          <w:rFonts w:hint="eastAsia" w:cs="宋体" w:asciiTheme="minorEastAsia" w:hAnsiTheme="minorEastAsia" w:eastAsiaTheme="minorEastAsia"/>
          <w:color w:val="000000"/>
          <w:kern w:val="0"/>
          <w:sz w:val="24"/>
          <w:szCs w:val="21"/>
          <w:lang w:val="zh-CN" w:bidi="zh-CN"/>
        </w:rPr>
        <w:t>12个月</w:t>
      </w:r>
    </w:p>
    <w:bookmarkEnd w:id="2"/>
    <w:bookmarkEnd w:id="3"/>
    <w:p>
      <w:pPr>
        <w:pStyle w:val="11"/>
        <w:numPr>
          <w:ilvl w:val="0"/>
          <w:numId w:val="0"/>
        </w:numPr>
        <w:spacing w:line="576" w:lineRule="atLeast"/>
        <w:ind w:leftChars="0"/>
        <w:jc w:val="left"/>
        <w:rPr>
          <w:rFonts w:cs="宋体" w:asciiTheme="minorEastAsia" w:hAnsiTheme="minorEastAsia" w:eastAsiaTheme="minorEastAsia"/>
          <w:b/>
          <w:bCs/>
          <w:color w:val="000000"/>
          <w:kern w:val="0"/>
          <w:sz w:val="24"/>
          <w:szCs w:val="21"/>
          <w:lang w:val="zh-CN" w:bidi="zh-CN"/>
        </w:rPr>
      </w:pPr>
      <w:bookmarkStart w:id="5" w:name="_Toc24633854"/>
      <w:bookmarkStart w:id="6" w:name="_Toc4252"/>
      <w:bookmarkStart w:id="7" w:name="_Toc494561955"/>
      <w:r>
        <w:rPr>
          <w:rFonts w:hint="eastAsia" w:cs="宋体" w:asciiTheme="minorEastAsia" w:hAnsiTheme="minorEastAsia" w:eastAsiaTheme="minorEastAsia"/>
          <w:b/>
          <w:bCs/>
          <w:color w:val="000000"/>
          <w:kern w:val="0"/>
          <w:sz w:val="24"/>
          <w:szCs w:val="21"/>
          <w:lang w:val="en-US" w:bidi="zh-CN"/>
        </w:rPr>
        <w:t>四、</w:t>
      </w:r>
      <w:r>
        <w:rPr>
          <w:rFonts w:hint="eastAsia" w:cs="宋体" w:asciiTheme="minorEastAsia" w:hAnsiTheme="minorEastAsia" w:eastAsiaTheme="minorEastAsia"/>
          <w:b/>
          <w:bCs/>
          <w:color w:val="000000"/>
          <w:kern w:val="0"/>
          <w:sz w:val="24"/>
          <w:szCs w:val="21"/>
          <w:lang w:val="zh-CN" w:bidi="zh-CN"/>
        </w:rPr>
        <w:t>服务要求</w:t>
      </w:r>
      <w:bookmarkEnd w:id="5"/>
      <w:bookmarkEnd w:id="6"/>
      <w:bookmarkEnd w:id="7"/>
    </w:p>
    <w:p>
      <w:pPr>
        <w:pStyle w:val="11"/>
        <w:spacing w:line="576" w:lineRule="atLeas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lang w:val="en-US" w:eastAsia="zh-CN"/>
        </w:rPr>
        <w:t>1.</w:t>
      </w:r>
      <w:r>
        <w:rPr>
          <w:rFonts w:hint="eastAsia" w:cs="宋体" w:asciiTheme="minorEastAsia" w:hAnsiTheme="minorEastAsia" w:eastAsiaTheme="minorEastAsia"/>
          <w:color w:val="000000"/>
          <w:sz w:val="24"/>
          <w:szCs w:val="21"/>
        </w:rPr>
        <w:t>指派两名有3年以上工作经验的驻场网络工程师为甲方提供全职驻场网络</w:t>
      </w:r>
      <w:r>
        <w:rPr>
          <w:rFonts w:hint="eastAsia" w:cs="宋体" w:asciiTheme="minorEastAsia" w:hAnsiTheme="minorEastAsia" w:eastAsiaTheme="minorEastAsia"/>
          <w:color w:val="000000"/>
          <w:sz w:val="24"/>
          <w:szCs w:val="21"/>
          <w:lang w:eastAsia="zh-CN"/>
        </w:rPr>
        <w:t>及网络安全</w:t>
      </w:r>
      <w:r>
        <w:rPr>
          <w:rFonts w:hint="eastAsia" w:cs="宋体" w:asciiTheme="minorEastAsia" w:hAnsiTheme="minorEastAsia" w:eastAsiaTheme="minorEastAsia"/>
          <w:color w:val="000000"/>
          <w:sz w:val="24"/>
          <w:szCs w:val="21"/>
        </w:rPr>
        <w:t>维保服务</w:t>
      </w:r>
      <w:r>
        <w:rPr>
          <w:rFonts w:hint="eastAsia" w:cs="宋体" w:asciiTheme="minorEastAsia" w:hAnsiTheme="minorEastAsia" w:eastAsiaTheme="minorEastAsia"/>
          <w:color w:val="000000"/>
          <w:sz w:val="24"/>
          <w:szCs w:val="21"/>
          <w:lang w:eastAsia="zh-CN"/>
        </w:rPr>
        <w:t>，未经甲方许可不得中途更换驻场人员</w:t>
      </w:r>
      <w:r>
        <w:rPr>
          <w:rFonts w:hint="eastAsia" w:cs="宋体" w:asciiTheme="minorEastAsia" w:hAnsiTheme="minorEastAsia" w:eastAsiaTheme="minorEastAsia"/>
          <w:color w:val="000000"/>
          <w:sz w:val="24"/>
          <w:szCs w:val="21"/>
        </w:rPr>
        <w:t xml:space="preserve">； </w:t>
      </w:r>
    </w:p>
    <w:p>
      <w:pPr>
        <w:pStyle w:val="11"/>
        <w:spacing w:line="576" w:lineRule="exact"/>
        <w:ind w:left="0" w:leftChars="0" w:firstLine="480" w:firstLineChars="200"/>
        <w:jc w:val="left"/>
        <w:rPr>
          <w:rFonts w:hint="eastAsia"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lang w:val="en-US" w:eastAsia="zh-CN"/>
        </w:rPr>
        <w:t>2.</w:t>
      </w:r>
      <w:r>
        <w:rPr>
          <w:rFonts w:hint="eastAsia" w:cs="宋体" w:asciiTheme="minorEastAsia" w:hAnsiTheme="minorEastAsia" w:eastAsiaTheme="minorEastAsia"/>
          <w:color w:val="000000"/>
          <w:sz w:val="24"/>
          <w:szCs w:val="21"/>
        </w:rPr>
        <w:t>驻场人员在维护过程中了解到甲方数据及财务信息等资料负有保密</w:t>
      </w:r>
      <w:r>
        <w:rPr>
          <w:rFonts w:hint="eastAsia" w:cs="宋体" w:asciiTheme="minorEastAsia" w:hAnsiTheme="minorEastAsia" w:eastAsiaTheme="minorEastAsia"/>
          <w:color w:val="000000"/>
          <w:sz w:val="24"/>
          <w:szCs w:val="21"/>
          <w:lang w:val="en-US" w:eastAsia="zh-CN"/>
        </w:rPr>
        <w:t>责任</w:t>
      </w:r>
      <w:r>
        <w:rPr>
          <w:rFonts w:hint="eastAsia" w:cs="宋体" w:asciiTheme="minorEastAsia" w:hAnsiTheme="minorEastAsia" w:eastAsiaTheme="minorEastAsia"/>
          <w:color w:val="000000"/>
          <w:sz w:val="24"/>
          <w:szCs w:val="21"/>
        </w:rPr>
        <w:t>，未经甲方书面许可不得对其进行传播、披露、复制并向任何第三方泄露、提供。</w:t>
      </w:r>
    </w:p>
    <w:p>
      <w:pPr>
        <w:pStyle w:val="11"/>
        <w:spacing w:line="576" w:lineRule="exact"/>
        <w:ind w:left="0" w:leftChars="0" w:firstLine="480" w:firstLineChars="200"/>
        <w:jc w:val="left"/>
        <w:rPr>
          <w:rFonts w:cs="宋体" w:asciiTheme="minorEastAsia" w:hAnsiTheme="minorEastAsia" w:eastAsiaTheme="minorEastAsia"/>
          <w:color w:val="000000"/>
          <w:kern w:val="0"/>
          <w:sz w:val="24"/>
          <w:szCs w:val="21"/>
          <w:lang w:val="zh-CN" w:bidi="zh-CN"/>
        </w:rPr>
      </w:pPr>
      <w:r>
        <w:rPr>
          <w:rFonts w:hint="eastAsia" w:cs="宋体" w:asciiTheme="minorEastAsia" w:hAnsiTheme="minorEastAsia" w:eastAsiaTheme="minorEastAsia"/>
          <w:color w:val="000000"/>
          <w:sz w:val="24"/>
          <w:szCs w:val="21"/>
          <w:lang w:val="en-US" w:eastAsia="zh-CN"/>
        </w:rPr>
        <w:t>3.</w:t>
      </w:r>
      <w:r>
        <w:rPr>
          <w:rFonts w:hint="eastAsia" w:cs="宋体" w:asciiTheme="minorEastAsia" w:hAnsiTheme="minorEastAsia" w:eastAsiaTheme="minorEastAsia"/>
          <w:sz w:val="24"/>
          <w:szCs w:val="21"/>
          <w:lang w:eastAsia="zh-CN"/>
        </w:rPr>
        <w:t>甲方</w:t>
      </w:r>
      <w:r>
        <w:rPr>
          <w:rFonts w:hint="eastAsia" w:cs="宋体" w:asciiTheme="minorEastAsia" w:hAnsiTheme="minorEastAsia" w:eastAsiaTheme="minorEastAsia"/>
          <w:sz w:val="24"/>
          <w:szCs w:val="21"/>
        </w:rPr>
        <w:t>如对</w:t>
      </w:r>
      <w:r>
        <w:rPr>
          <w:rFonts w:hint="eastAsia" w:cs="宋体" w:asciiTheme="minorEastAsia" w:hAnsiTheme="minorEastAsia" w:eastAsiaTheme="minorEastAsia"/>
          <w:sz w:val="24"/>
          <w:szCs w:val="21"/>
          <w:lang w:eastAsia="zh-CN"/>
        </w:rPr>
        <w:t>乙方</w:t>
      </w:r>
      <w:r>
        <w:rPr>
          <w:rFonts w:hint="eastAsia" w:cs="宋体" w:asciiTheme="minorEastAsia" w:hAnsiTheme="minorEastAsia" w:eastAsiaTheme="minorEastAsia"/>
          <w:sz w:val="24"/>
          <w:szCs w:val="21"/>
        </w:rPr>
        <w:t>所指派的驻场工程师的服务不满意 (包括技术能力、服务态度等)，有权提出撤换驻场工程师的要求，运维服务方应无条件予以执行。如运维服务方无法满足校方要求，校方有权终止合同。</w:t>
      </w:r>
    </w:p>
    <w:p>
      <w:pPr>
        <w:pStyle w:val="11"/>
        <w:numPr>
          <w:ilvl w:val="0"/>
          <w:numId w:val="14"/>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按甲方要求提供数据、设备、安全监控工具。</w:t>
      </w:r>
    </w:p>
    <w:p>
      <w:pPr>
        <w:pStyle w:val="11"/>
        <w:numPr>
          <w:ilvl w:val="0"/>
          <w:numId w:val="14"/>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应做好正常的日常维护工作，保证线路畅通。要建立完善的通信障碍处理、报告制度。出现通信故障应于当天汇报至相关部门，双方相互配合，确定障碍原因。确定故障端后应立即采取措施，按规程时限排除故障，并做好详细的故障处理报告，保障线路畅通。</w:t>
      </w:r>
    </w:p>
    <w:p>
      <w:pPr>
        <w:pStyle w:val="11"/>
        <w:numPr>
          <w:ilvl w:val="0"/>
          <w:numId w:val="14"/>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故障响应及处理时间：</w:t>
      </w:r>
    </w:p>
    <w:p>
      <w:pPr>
        <w:pStyle w:val="11"/>
        <w:spacing w:line="576" w:lineRule="exact"/>
        <w:ind w:left="840" w:firstLine="0"/>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电话支持：7*24小时电话响应；</w:t>
      </w:r>
    </w:p>
    <w:p>
      <w:pPr>
        <w:pStyle w:val="11"/>
        <w:numPr>
          <w:ilvl w:val="0"/>
          <w:numId w:val="14"/>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提供符合甲方要求的突发事件及应急响应服务现场保障措施，且提供对应演练，实施计划。</w:t>
      </w:r>
    </w:p>
    <w:p>
      <w:pPr>
        <w:pStyle w:val="11"/>
        <w:numPr>
          <w:ilvl w:val="0"/>
          <w:numId w:val="14"/>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网络安全防护升级服务：提供校方所需的网络安全设备放置于校方机房内，并提供相关服务；</w:t>
      </w:r>
    </w:p>
    <w:p>
      <w:pPr>
        <w:pStyle w:val="11"/>
        <w:numPr>
          <w:ilvl w:val="0"/>
          <w:numId w:val="14"/>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提供维护技术方案</w:t>
      </w:r>
    </w:p>
    <w:p>
      <w:pPr>
        <w:pStyle w:val="11"/>
        <w:numPr>
          <w:ilvl w:val="0"/>
          <w:numId w:val="15"/>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提供机房网络设备维护方案（核心路由器，核心防火墙，核心交换机）</w:t>
      </w:r>
    </w:p>
    <w:p>
      <w:pPr>
        <w:pStyle w:val="11"/>
        <w:numPr>
          <w:ilvl w:val="0"/>
          <w:numId w:val="15"/>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提供网络规划与技术支持方案；</w:t>
      </w:r>
    </w:p>
    <w:p>
      <w:pPr>
        <w:pStyle w:val="11"/>
        <w:numPr>
          <w:ilvl w:val="0"/>
          <w:numId w:val="15"/>
        </w:numPr>
        <w:spacing w:line="576" w:lineRule="exact"/>
        <w:jc w:val="left"/>
        <w:rPr>
          <w:rFonts w:cs="宋体" w:asciiTheme="minorEastAsia" w:hAnsiTheme="minorEastAsia" w:eastAsiaTheme="minorEastAsia"/>
          <w:color w:val="000000"/>
          <w:sz w:val="24"/>
          <w:szCs w:val="21"/>
        </w:rPr>
      </w:pPr>
      <w:r>
        <w:rPr>
          <w:rFonts w:cs="宋体" w:asciiTheme="minorEastAsia" w:hAnsiTheme="minorEastAsia" w:eastAsiaTheme="minorEastAsia"/>
          <w:color w:val="000000"/>
          <w:sz w:val="24"/>
          <w:szCs w:val="21"/>
        </w:rPr>
        <w:t>制定现状分析报告及改造升级方案，现状描述详细、问题把握准确、方案合理、思路清晰、可操作性强；</w:t>
      </w:r>
    </w:p>
    <w:p>
      <w:pPr>
        <w:pStyle w:val="11"/>
        <w:numPr>
          <w:ilvl w:val="0"/>
          <w:numId w:val="15"/>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提供日常巡检、应急故障处理、安全监控、分析等方案；</w:t>
      </w:r>
    </w:p>
    <w:p>
      <w:pPr>
        <w:pStyle w:val="11"/>
        <w:numPr>
          <w:ilvl w:val="0"/>
          <w:numId w:val="15"/>
        </w:numPr>
        <w:spacing w:line="576" w:lineRule="exact"/>
        <w:jc w:val="left"/>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提供备份技术和链路自动切换技术方案；</w:t>
      </w:r>
    </w:p>
    <w:p>
      <w:pPr>
        <w:pStyle w:val="11"/>
        <w:numPr>
          <w:ilvl w:val="0"/>
          <w:numId w:val="14"/>
        </w:numPr>
        <w:spacing w:line="576" w:lineRule="exact"/>
        <w:jc w:val="left"/>
        <w:rPr>
          <w:rFonts w:cs="宋体" w:asciiTheme="minorEastAsia" w:hAnsiTheme="minorEastAsia" w:eastAsiaTheme="minorEastAsia"/>
          <w:color w:val="000000"/>
          <w:kern w:val="0"/>
          <w:sz w:val="24"/>
          <w:szCs w:val="21"/>
          <w:lang w:val="zh-CN" w:bidi="zh-CN"/>
        </w:rPr>
      </w:pPr>
      <w:r>
        <w:rPr>
          <w:rFonts w:hint="eastAsia" w:cs="宋体" w:asciiTheme="minorEastAsia" w:hAnsiTheme="minorEastAsia" w:eastAsiaTheme="minorEastAsia"/>
          <w:color w:val="000000"/>
          <w:sz w:val="24"/>
          <w:szCs w:val="21"/>
          <w:highlight w:val="none"/>
        </w:rPr>
        <w:t>维护维修过程中出现故障的</w:t>
      </w:r>
      <w:r>
        <w:rPr>
          <w:rFonts w:cs="宋体" w:asciiTheme="minorEastAsia" w:hAnsiTheme="minorEastAsia" w:eastAsiaTheme="minorEastAsia"/>
          <w:color w:val="000000"/>
          <w:sz w:val="24"/>
          <w:szCs w:val="21"/>
          <w:highlight w:val="none"/>
        </w:rPr>
        <w:t>网络设备</w:t>
      </w:r>
      <w:r>
        <w:rPr>
          <w:rFonts w:hint="eastAsia" w:cs="宋体" w:asciiTheme="minorEastAsia" w:hAnsiTheme="minorEastAsia" w:eastAsiaTheme="minorEastAsia"/>
          <w:color w:val="000000"/>
          <w:sz w:val="24"/>
          <w:szCs w:val="21"/>
          <w:highlight w:val="none"/>
        </w:rPr>
        <w:t>和所需的</w:t>
      </w:r>
      <w:r>
        <w:rPr>
          <w:rFonts w:cs="宋体" w:asciiTheme="minorEastAsia" w:hAnsiTheme="minorEastAsia" w:eastAsiaTheme="minorEastAsia"/>
          <w:color w:val="000000"/>
          <w:sz w:val="24"/>
          <w:szCs w:val="21"/>
          <w:highlight w:val="none"/>
        </w:rPr>
        <w:t>网络</w:t>
      </w:r>
      <w:r>
        <w:rPr>
          <w:rFonts w:hint="eastAsia" w:cs="宋体" w:asciiTheme="minorEastAsia" w:hAnsiTheme="minorEastAsia" w:eastAsiaTheme="minorEastAsia"/>
          <w:color w:val="000000"/>
          <w:sz w:val="24"/>
          <w:szCs w:val="21"/>
          <w:highlight w:val="none"/>
        </w:rPr>
        <w:t>相关</w:t>
      </w:r>
      <w:r>
        <w:rPr>
          <w:rFonts w:cs="宋体" w:asciiTheme="minorEastAsia" w:hAnsiTheme="minorEastAsia" w:eastAsiaTheme="minorEastAsia"/>
          <w:color w:val="000000"/>
          <w:sz w:val="24"/>
          <w:szCs w:val="21"/>
          <w:highlight w:val="none"/>
        </w:rPr>
        <w:t>耗材</w:t>
      </w:r>
      <w:r>
        <w:rPr>
          <w:rFonts w:hint="eastAsia" w:cs="宋体" w:asciiTheme="minorEastAsia" w:hAnsiTheme="minorEastAsia" w:eastAsiaTheme="minorEastAsia"/>
          <w:color w:val="000000"/>
          <w:sz w:val="24"/>
          <w:szCs w:val="21"/>
          <w:highlight w:val="none"/>
        </w:rPr>
        <w:t>，需</w:t>
      </w:r>
      <w:r>
        <w:rPr>
          <w:rFonts w:cs="宋体" w:asciiTheme="minorEastAsia" w:hAnsiTheme="minorEastAsia" w:eastAsiaTheme="minorEastAsia"/>
          <w:color w:val="000000"/>
          <w:sz w:val="24"/>
          <w:szCs w:val="21"/>
          <w:highlight w:val="none"/>
        </w:rPr>
        <w:t>免费</w:t>
      </w:r>
      <w:r>
        <w:rPr>
          <w:rFonts w:hint="eastAsia" w:cs="宋体" w:asciiTheme="minorEastAsia" w:hAnsiTheme="minorEastAsia" w:eastAsiaTheme="minorEastAsia"/>
          <w:color w:val="000000"/>
          <w:sz w:val="24"/>
          <w:szCs w:val="21"/>
          <w:highlight w:val="none"/>
        </w:rPr>
        <w:t>为</w:t>
      </w:r>
      <w:r>
        <w:rPr>
          <w:rFonts w:cs="宋体" w:asciiTheme="minorEastAsia" w:hAnsiTheme="minorEastAsia" w:eastAsiaTheme="minorEastAsia"/>
          <w:color w:val="000000"/>
          <w:sz w:val="24"/>
          <w:szCs w:val="21"/>
          <w:highlight w:val="none"/>
        </w:rPr>
        <w:t>学校提供</w:t>
      </w:r>
      <w:r>
        <w:rPr>
          <w:rFonts w:hint="eastAsia" w:cs="宋体" w:asciiTheme="minorEastAsia" w:hAnsiTheme="minorEastAsia" w:eastAsiaTheme="minorEastAsia"/>
          <w:color w:val="000000"/>
          <w:sz w:val="24"/>
          <w:szCs w:val="21"/>
          <w:highlight w:val="none"/>
        </w:rPr>
        <w:t>。</w:t>
      </w:r>
    </w:p>
    <w:p>
      <w:pPr>
        <w:pStyle w:val="11"/>
        <w:numPr>
          <w:ilvl w:val="0"/>
          <w:numId w:val="0"/>
        </w:numPr>
        <w:spacing w:line="576" w:lineRule="exact"/>
        <w:ind w:firstLine="480" w:firstLineChars="200"/>
        <w:jc w:val="left"/>
        <w:rPr>
          <w:rFonts w:cs="宋体" w:asciiTheme="minorEastAsia" w:hAnsiTheme="minorEastAsia" w:eastAsiaTheme="minorEastAsia"/>
          <w:color w:val="000000"/>
          <w:kern w:val="0"/>
          <w:sz w:val="24"/>
          <w:szCs w:val="21"/>
          <w:lang w:val="zh-CN" w:bidi="zh-CN"/>
        </w:rPr>
      </w:pPr>
      <w:r>
        <w:rPr>
          <w:rFonts w:hint="eastAsia" w:cs="宋体" w:asciiTheme="minorEastAsia" w:hAnsiTheme="minorEastAsia" w:eastAsiaTheme="minorEastAsia"/>
          <w:color w:val="000000"/>
          <w:kern w:val="0"/>
          <w:sz w:val="24"/>
          <w:szCs w:val="21"/>
          <w:lang w:val="en-US" w:bidi="zh-CN"/>
        </w:rPr>
        <w:t>4.</w:t>
      </w:r>
      <w:r>
        <w:rPr>
          <w:rFonts w:hint="eastAsia" w:cs="宋体" w:asciiTheme="minorEastAsia" w:hAnsiTheme="minorEastAsia" w:eastAsiaTheme="minorEastAsia"/>
          <w:color w:val="000000"/>
          <w:kern w:val="0"/>
          <w:sz w:val="24"/>
          <w:szCs w:val="21"/>
          <w:lang w:val="zh-CN" w:bidi="zh-CN"/>
        </w:rPr>
        <w:t>服务质量与考核</w:t>
      </w:r>
    </w:p>
    <w:p>
      <w:pPr>
        <w:pStyle w:val="10"/>
        <w:numPr>
          <w:ilvl w:val="0"/>
          <w:numId w:val="16"/>
        </w:numPr>
        <w:autoSpaceDE w:val="0"/>
        <w:autoSpaceDN w:val="0"/>
        <w:spacing w:line="240" w:lineRule="auto"/>
        <w:ind w:firstLineChars="0"/>
        <w:jc w:val="left"/>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服务响应时效要求</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1821"/>
        <w:gridCol w:w="2616"/>
        <w:gridCol w:w="1774"/>
        <w:gridCol w:w="1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trPr>
        <w:tc>
          <w:tcPr>
            <w:tcW w:w="677"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序号</w:t>
            </w:r>
          </w:p>
        </w:tc>
        <w:tc>
          <w:tcPr>
            <w:tcW w:w="1068"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受理类型</w:t>
            </w:r>
          </w:p>
        </w:tc>
        <w:tc>
          <w:tcPr>
            <w:tcW w:w="1534"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服务节点</w:t>
            </w:r>
          </w:p>
        </w:tc>
        <w:tc>
          <w:tcPr>
            <w:tcW w:w="1040"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服务标准</w:t>
            </w:r>
          </w:p>
        </w:tc>
        <w:tc>
          <w:tcPr>
            <w:tcW w:w="678"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达标率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7"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1</w:t>
            </w:r>
          </w:p>
        </w:tc>
        <w:tc>
          <w:tcPr>
            <w:tcW w:w="1068" w:type="pct"/>
            <w:vMerge w:val="restar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呼叫响应</w:t>
            </w:r>
          </w:p>
        </w:tc>
        <w:tc>
          <w:tcPr>
            <w:tcW w:w="1534"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电话响应时间</w:t>
            </w:r>
          </w:p>
        </w:tc>
        <w:tc>
          <w:tcPr>
            <w:tcW w:w="1040" w:type="pct"/>
            <w:tcBorders>
              <w:tl2br w:val="nil"/>
              <w:tr2bl w:val="nil"/>
            </w:tcBorders>
            <w:noWrap/>
            <w:vAlign w:val="bottom"/>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＜5分钟</w:t>
            </w:r>
          </w:p>
        </w:tc>
        <w:tc>
          <w:tcPr>
            <w:tcW w:w="678" w:type="pct"/>
            <w:tcBorders>
              <w:tl2br w:val="nil"/>
              <w:tr2bl w:val="nil"/>
            </w:tcBorders>
            <w:noWrap/>
            <w:vAlign w:val="bottom"/>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7"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2</w:t>
            </w:r>
          </w:p>
        </w:tc>
        <w:tc>
          <w:tcPr>
            <w:tcW w:w="1068" w:type="pct"/>
            <w:vMerge w:val="continue"/>
            <w:tcBorders>
              <w:tl2br w:val="nil"/>
              <w:tr2bl w:val="nil"/>
            </w:tcBorders>
            <w:noWrap/>
            <w:vAlign w:val="center"/>
          </w:tcPr>
          <w:p>
            <w:pPr>
              <w:rPr>
                <w:rFonts w:cs="宋体" w:asciiTheme="minorEastAsia" w:hAnsiTheme="minorEastAsia" w:eastAsiaTheme="minorEastAsia"/>
                <w:color w:val="000000"/>
                <w:kern w:val="0"/>
                <w:szCs w:val="21"/>
                <w:lang w:val="zh-CN" w:bidi="zh-CN"/>
              </w:rPr>
            </w:pPr>
          </w:p>
        </w:tc>
        <w:tc>
          <w:tcPr>
            <w:tcW w:w="1534"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现场响应时间</w:t>
            </w:r>
          </w:p>
        </w:tc>
        <w:tc>
          <w:tcPr>
            <w:tcW w:w="1040" w:type="pct"/>
            <w:tcBorders>
              <w:tl2br w:val="nil"/>
              <w:tr2bl w:val="nil"/>
            </w:tcBorders>
            <w:noWrap/>
            <w:vAlign w:val="bottom"/>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＜10分钟</w:t>
            </w:r>
          </w:p>
        </w:tc>
        <w:tc>
          <w:tcPr>
            <w:tcW w:w="678" w:type="pct"/>
            <w:tcBorders>
              <w:tl2br w:val="nil"/>
              <w:tr2bl w:val="nil"/>
            </w:tcBorders>
            <w:noWrap/>
            <w:vAlign w:val="bottom"/>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7"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3</w:t>
            </w:r>
          </w:p>
        </w:tc>
        <w:tc>
          <w:tcPr>
            <w:tcW w:w="1068" w:type="pct"/>
            <w:vMerge w:val="restar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故障处理</w:t>
            </w:r>
          </w:p>
        </w:tc>
        <w:tc>
          <w:tcPr>
            <w:tcW w:w="1534"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机房设备处理时长</w:t>
            </w:r>
          </w:p>
        </w:tc>
        <w:tc>
          <w:tcPr>
            <w:tcW w:w="1040" w:type="pct"/>
            <w:tcBorders>
              <w:tl2br w:val="nil"/>
              <w:tr2bl w:val="nil"/>
            </w:tcBorders>
            <w:noWrap/>
            <w:vAlign w:val="bottom"/>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w:t>
            </w:r>
            <w:r>
              <w:rPr>
                <w:rFonts w:cs="宋体" w:asciiTheme="minorEastAsia" w:hAnsiTheme="minorEastAsia" w:eastAsiaTheme="minorEastAsia"/>
                <w:color w:val="000000"/>
                <w:kern w:val="0"/>
                <w:szCs w:val="21"/>
                <w:lang w:val="zh-CN" w:bidi="zh-CN"/>
              </w:rPr>
              <w:t>30</w:t>
            </w:r>
            <w:r>
              <w:rPr>
                <w:rFonts w:hint="eastAsia" w:cs="宋体" w:asciiTheme="minorEastAsia" w:hAnsiTheme="minorEastAsia" w:eastAsiaTheme="minorEastAsia"/>
                <w:color w:val="000000"/>
                <w:kern w:val="0"/>
                <w:szCs w:val="21"/>
                <w:lang w:val="zh-CN" w:bidi="zh-CN"/>
              </w:rPr>
              <w:t>分钟</w:t>
            </w:r>
          </w:p>
        </w:tc>
        <w:tc>
          <w:tcPr>
            <w:tcW w:w="678" w:type="pct"/>
            <w:tcBorders>
              <w:tl2br w:val="nil"/>
              <w:tr2bl w:val="nil"/>
            </w:tcBorders>
            <w:noWrap/>
            <w:vAlign w:val="bottom"/>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7"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4</w:t>
            </w:r>
          </w:p>
        </w:tc>
        <w:tc>
          <w:tcPr>
            <w:tcW w:w="1068" w:type="pct"/>
            <w:vMerge w:val="continue"/>
            <w:tcBorders>
              <w:tl2br w:val="nil"/>
              <w:tr2bl w:val="nil"/>
            </w:tcBorders>
            <w:vAlign w:val="center"/>
          </w:tcPr>
          <w:p>
            <w:pPr>
              <w:rPr>
                <w:rFonts w:cs="宋体" w:asciiTheme="minorEastAsia" w:hAnsiTheme="minorEastAsia" w:eastAsiaTheme="minorEastAsia"/>
                <w:color w:val="000000"/>
                <w:kern w:val="0"/>
                <w:szCs w:val="21"/>
                <w:lang w:val="zh-CN" w:bidi="zh-CN"/>
              </w:rPr>
            </w:pPr>
          </w:p>
        </w:tc>
        <w:tc>
          <w:tcPr>
            <w:tcW w:w="1534" w:type="pct"/>
            <w:tcBorders>
              <w:tl2br w:val="nil"/>
              <w:tr2bl w:val="nil"/>
            </w:tcBorders>
            <w:noWrap/>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网络设备处理时长</w:t>
            </w:r>
          </w:p>
        </w:tc>
        <w:tc>
          <w:tcPr>
            <w:tcW w:w="1040" w:type="pct"/>
            <w:tcBorders>
              <w:tl2br w:val="nil"/>
              <w:tr2bl w:val="nil"/>
            </w:tcBorders>
            <w:noWrap/>
            <w:vAlign w:val="bottom"/>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＜30小时</w:t>
            </w:r>
          </w:p>
        </w:tc>
        <w:tc>
          <w:tcPr>
            <w:tcW w:w="678" w:type="pct"/>
            <w:tcBorders>
              <w:tl2br w:val="nil"/>
              <w:tr2bl w:val="nil"/>
            </w:tcBorders>
            <w:noWrap/>
            <w:vAlign w:val="bottom"/>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≥90%</w:t>
            </w:r>
          </w:p>
        </w:tc>
      </w:tr>
    </w:tbl>
    <w:p>
      <w:pPr>
        <w:pStyle w:val="10"/>
        <w:numPr>
          <w:ilvl w:val="0"/>
          <w:numId w:val="16"/>
        </w:numPr>
        <w:autoSpaceDE w:val="0"/>
        <w:autoSpaceDN w:val="0"/>
        <w:spacing w:line="240" w:lineRule="auto"/>
        <w:ind w:firstLineChars="0"/>
        <w:jc w:val="left"/>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服务考核要求</w:t>
      </w:r>
    </w:p>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为保证运维服务质量，从运维管理、服务质量、用户满意度三方面构建运维服务考核指标体系。</w:t>
      </w:r>
      <w:r>
        <w:rPr>
          <w:rFonts w:cs="宋体" w:asciiTheme="minorEastAsia" w:hAnsiTheme="minorEastAsia" w:eastAsiaTheme="minorEastAsia"/>
          <w:color w:val="000000"/>
          <w:kern w:val="0"/>
          <w:szCs w:val="21"/>
          <w:lang w:val="zh-CN" w:bidi="zh-CN"/>
        </w:rPr>
        <w:t xml:space="preserve"> </w:t>
      </w:r>
    </w:p>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详情见下表。</w:t>
      </w:r>
    </w:p>
    <w:tbl>
      <w:tblPr>
        <w:tblStyle w:val="5"/>
        <w:tblW w:w="497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0"/>
        <w:gridCol w:w="2237"/>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2323" w:type="pct"/>
            <w:gridSpan w:val="2"/>
            <w:tcBorders>
              <w:tl2br w:val="nil"/>
              <w:tr2bl w:val="nil"/>
            </w:tcBorders>
            <w:vAlign w:val="center"/>
          </w:tcPr>
          <w:p>
            <w:pPr>
              <w:jc w:val="cente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考核指标</w:t>
            </w:r>
          </w:p>
        </w:tc>
        <w:tc>
          <w:tcPr>
            <w:tcW w:w="2677" w:type="pct"/>
            <w:tcBorders>
              <w:tl2br w:val="nil"/>
              <w:tr2bl w:val="nil"/>
            </w:tcBorders>
            <w:vAlign w:val="center"/>
          </w:tcPr>
          <w:p>
            <w:pPr>
              <w:jc w:val="cente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工作要求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trPr>
        <w:tc>
          <w:tcPr>
            <w:tcW w:w="1003" w:type="pct"/>
            <w:vMerge w:val="restar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运维管理</w:t>
            </w:r>
          </w:p>
        </w:tc>
        <w:tc>
          <w:tcPr>
            <w:tcW w:w="1320"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日常考勤</w:t>
            </w:r>
          </w:p>
        </w:tc>
        <w:tc>
          <w:tcPr>
            <w:tcW w:w="2677"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1、认真落实各项考勤要求。</w:t>
            </w:r>
          </w:p>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2、遵守学校各项管理规定。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1003" w:type="pct"/>
            <w:vMerge w:val="continue"/>
            <w:tcBorders>
              <w:tl2br w:val="nil"/>
              <w:tr2bl w:val="nil"/>
            </w:tcBorders>
            <w:vAlign w:val="center"/>
          </w:tcPr>
          <w:p>
            <w:pPr>
              <w:rPr>
                <w:rFonts w:cs="宋体" w:asciiTheme="minorEastAsia" w:hAnsiTheme="minorEastAsia" w:eastAsiaTheme="minorEastAsia"/>
                <w:color w:val="000000"/>
                <w:kern w:val="0"/>
                <w:szCs w:val="21"/>
                <w:lang w:val="zh-CN" w:bidi="zh-CN"/>
              </w:rPr>
            </w:pPr>
          </w:p>
        </w:tc>
        <w:tc>
          <w:tcPr>
            <w:tcW w:w="1320"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提交报告</w:t>
            </w:r>
          </w:p>
        </w:tc>
        <w:tc>
          <w:tcPr>
            <w:tcW w:w="2677"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按时提交每日运维、安全巡检报告。</w:t>
            </w:r>
          </w:p>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按要求提交总结报告。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9" w:hRule="atLeast"/>
        </w:trPr>
        <w:tc>
          <w:tcPr>
            <w:tcW w:w="1003" w:type="pct"/>
            <w:vMerge w:val="restar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服务质量</w:t>
            </w:r>
          </w:p>
        </w:tc>
        <w:tc>
          <w:tcPr>
            <w:tcW w:w="1320"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报修电话接通率</w:t>
            </w:r>
          </w:p>
        </w:tc>
        <w:tc>
          <w:tcPr>
            <w:tcW w:w="2677"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保证报修电话通畅，电话能够及时接通；并能够开始处理问题；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trPr>
        <w:tc>
          <w:tcPr>
            <w:tcW w:w="1003" w:type="pct"/>
            <w:vMerge w:val="continue"/>
            <w:tcBorders>
              <w:tl2br w:val="nil"/>
              <w:tr2bl w:val="nil"/>
            </w:tcBorders>
            <w:vAlign w:val="center"/>
          </w:tcPr>
          <w:p>
            <w:pPr>
              <w:rPr>
                <w:rFonts w:cs="宋体" w:asciiTheme="minorEastAsia" w:hAnsiTheme="minorEastAsia" w:eastAsiaTheme="minorEastAsia"/>
                <w:color w:val="000000"/>
                <w:kern w:val="0"/>
                <w:szCs w:val="21"/>
                <w:lang w:val="zh-CN" w:bidi="zh-CN"/>
              </w:rPr>
            </w:pPr>
          </w:p>
        </w:tc>
        <w:tc>
          <w:tcPr>
            <w:tcW w:w="1320"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驻场服务响应</w:t>
            </w:r>
          </w:p>
        </w:tc>
        <w:tc>
          <w:tcPr>
            <w:tcW w:w="2677"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驻场工程师需要在10分钟内赶到现场；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5" w:hRule="atLeast"/>
        </w:trPr>
        <w:tc>
          <w:tcPr>
            <w:tcW w:w="1003" w:type="pct"/>
            <w:vMerge w:val="continue"/>
            <w:tcBorders>
              <w:tl2br w:val="nil"/>
              <w:tr2bl w:val="nil"/>
            </w:tcBorders>
            <w:vAlign w:val="center"/>
          </w:tcPr>
          <w:p>
            <w:pPr>
              <w:rPr>
                <w:rFonts w:cs="宋体" w:asciiTheme="minorEastAsia" w:hAnsiTheme="minorEastAsia" w:eastAsiaTheme="minorEastAsia"/>
                <w:color w:val="000000"/>
                <w:kern w:val="0"/>
                <w:szCs w:val="21"/>
                <w:lang w:val="zh-CN" w:bidi="zh-CN"/>
              </w:rPr>
            </w:pPr>
          </w:p>
        </w:tc>
        <w:tc>
          <w:tcPr>
            <w:tcW w:w="1320"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故障处理效率</w:t>
            </w:r>
          </w:p>
        </w:tc>
        <w:tc>
          <w:tcPr>
            <w:tcW w:w="2677"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驻场工程师除巡检，硬件送修，数据相关问题等故障外，需要在2小时（桌面）/4小时（网络及服务器)内解决故障；，</w:t>
            </w:r>
            <w:r>
              <w:rPr>
                <w:rFonts w:cs="宋体" w:asciiTheme="minorEastAsia" w:hAnsiTheme="minorEastAsia" w:eastAsiaTheme="minorEastAsia"/>
                <w:color w:val="000000"/>
                <w:kern w:val="0"/>
                <w:szCs w:val="21"/>
                <w:lang w:val="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2" w:hRule="atLeast"/>
        </w:trPr>
        <w:tc>
          <w:tcPr>
            <w:tcW w:w="1003"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服务满意度</w:t>
            </w:r>
          </w:p>
        </w:tc>
        <w:tc>
          <w:tcPr>
            <w:tcW w:w="1320" w:type="pct"/>
            <w:tcBorders>
              <w:tl2br w:val="nil"/>
              <w:tr2bl w:val="nil"/>
            </w:tcBorders>
            <w:vAlign w:val="center"/>
          </w:tcPr>
          <w:p>
            <w:pPr>
              <w:rPr>
                <w:rFonts w:cs="宋体" w:asciiTheme="minorEastAsia" w:hAnsiTheme="minorEastAsia" w:eastAsiaTheme="minorEastAsia"/>
                <w:color w:val="000000"/>
                <w:kern w:val="0"/>
                <w:szCs w:val="21"/>
                <w:highlight w:val="yellow"/>
                <w:lang w:val="zh-CN" w:bidi="zh-CN"/>
              </w:rPr>
            </w:pPr>
            <w:r>
              <w:rPr>
                <w:rFonts w:hint="eastAsia" w:cs="宋体" w:asciiTheme="minorEastAsia" w:hAnsiTheme="minorEastAsia" w:eastAsiaTheme="minorEastAsia"/>
                <w:color w:val="000000"/>
                <w:kern w:val="0"/>
                <w:szCs w:val="21"/>
                <w:highlight w:val="none"/>
                <w:lang w:val="zh-CN" w:bidi="zh-CN"/>
              </w:rPr>
              <w:t>维修记录单</w:t>
            </w:r>
          </w:p>
        </w:tc>
        <w:tc>
          <w:tcPr>
            <w:tcW w:w="2677" w:type="pct"/>
            <w:tcBorders>
              <w:tl2br w:val="nil"/>
              <w:tr2bl w:val="nil"/>
            </w:tcBorders>
            <w:vAlign w:val="center"/>
          </w:tcPr>
          <w:p>
            <w:pPr>
              <w:rPr>
                <w:rFonts w:cs="宋体" w:asciiTheme="minorEastAsia" w:hAnsiTheme="minorEastAsia" w:eastAsiaTheme="minorEastAsia"/>
                <w:color w:val="000000"/>
                <w:kern w:val="0"/>
                <w:szCs w:val="21"/>
                <w:lang w:val="zh-CN" w:bidi="zh-CN"/>
              </w:rPr>
            </w:pPr>
            <w:r>
              <w:rPr>
                <w:rFonts w:hint="eastAsia" w:cs="宋体" w:asciiTheme="minorEastAsia" w:hAnsiTheme="minorEastAsia" w:eastAsiaTheme="minorEastAsia"/>
                <w:color w:val="000000"/>
                <w:kern w:val="0"/>
                <w:szCs w:val="21"/>
                <w:lang w:val="zh-CN" w:bidi="zh-CN"/>
              </w:rPr>
              <w:t>工作态度端正，定期主动服务，及时快速回答用户问题，解决用户设备故障。</w:t>
            </w:r>
          </w:p>
        </w:tc>
      </w:tr>
    </w:tbl>
    <w:p>
      <w:pPr>
        <w:pStyle w:val="11"/>
        <w:spacing w:line="576" w:lineRule="exact"/>
        <w:ind w:left="420" w:firstLine="0"/>
        <w:jc w:val="left"/>
        <w:rPr>
          <w:rFonts w:cs="宋体" w:asciiTheme="minorEastAsia" w:hAnsiTheme="minorEastAsia" w:eastAsiaTheme="minorEastAsia"/>
          <w:color w:val="000000"/>
          <w:kern w:val="0"/>
          <w:sz w:val="24"/>
          <w:szCs w:val="21"/>
          <w:lang w:val="zh-CN" w:bidi="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709383"/>
    <w:multiLevelType w:val="singleLevel"/>
    <w:tmpl w:val="88709383"/>
    <w:lvl w:ilvl="0" w:tentative="0">
      <w:start w:val="1"/>
      <w:numFmt w:val="decimal"/>
      <w:lvlText w:val="%1."/>
      <w:lvlJc w:val="left"/>
      <w:pPr>
        <w:tabs>
          <w:tab w:val="left" w:pos="312"/>
        </w:tabs>
      </w:pPr>
    </w:lvl>
  </w:abstractNum>
  <w:abstractNum w:abstractNumId="1">
    <w:nsid w:val="8D35A6C6"/>
    <w:multiLevelType w:val="singleLevel"/>
    <w:tmpl w:val="8D35A6C6"/>
    <w:lvl w:ilvl="0" w:tentative="0">
      <w:start w:val="1"/>
      <w:numFmt w:val="decimal"/>
      <w:lvlText w:val="%1."/>
      <w:lvlJc w:val="left"/>
      <w:pPr>
        <w:tabs>
          <w:tab w:val="left" w:pos="312"/>
        </w:tabs>
      </w:pPr>
    </w:lvl>
  </w:abstractNum>
  <w:abstractNum w:abstractNumId="2">
    <w:nsid w:val="B2D4B060"/>
    <w:multiLevelType w:val="singleLevel"/>
    <w:tmpl w:val="B2D4B060"/>
    <w:lvl w:ilvl="0" w:tentative="0">
      <w:start w:val="1"/>
      <w:numFmt w:val="decimal"/>
      <w:lvlText w:val="%1."/>
      <w:lvlJc w:val="left"/>
      <w:pPr>
        <w:tabs>
          <w:tab w:val="left" w:pos="312"/>
        </w:tabs>
      </w:pPr>
    </w:lvl>
  </w:abstractNum>
  <w:abstractNum w:abstractNumId="3">
    <w:nsid w:val="B3603283"/>
    <w:multiLevelType w:val="singleLevel"/>
    <w:tmpl w:val="B3603283"/>
    <w:lvl w:ilvl="0" w:tentative="0">
      <w:start w:val="1"/>
      <w:numFmt w:val="decimal"/>
      <w:lvlText w:val="%1."/>
      <w:lvlJc w:val="left"/>
      <w:pPr>
        <w:tabs>
          <w:tab w:val="left" w:pos="312"/>
        </w:tabs>
      </w:pPr>
    </w:lvl>
  </w:abstractNum>
  <w:abstractNum w:abstractNumId="4">
    <w:nsid w:val="D1E45420"/>
    <w:multiLevelType w:val="singleLevel"/>
    <w:tmpl w:val="D1E45420"/>
    <w:lvl w:ilvl="0" w:tentative="0">
      <w:start w:val="1"/>
      <w:numFmt w:val="decimal"/>
      <w:lvlText w:val="%1."/>
      <w:lvlJc w:val="left"/>
      <w:pPr>
        <w:tabs>
          <w:tab w:val="left" w:pos="312"/>
        </w:tabs>
      </w:pPr>
    </w:lvl>
  </w:abstractNum>
  <w:abstractNum w:abstractNumId="5">
    <w:nsid w:val="DF1DC980"/>
    <w:multiLevelType w:val="singleLevel"/>
    <w:tmpl w:val="DF1DC980"/>
    <w:lvl w:ilvl="0" w:tentative="0">
      <w:start w:val="1"/>
      <w:numFmt w:val="decimal"/>
      <w:lvlText w:val="%1."/>
      <w:lvlJc w:val="left"/>
      <w:pPr>
        <w:tabs>
          <w:tab w:val="left" w:pos="312"/>
        </w:tabs>
      </w:pPr>
    </w:lvl>
  </w:abstractNum>
  <w:abstractNum w:abstractNumId="6">
    <w:nsid w:val="F194D030"/>
    <w:multiLevelType w:val="singleLevel"/>
    <w:tmpl w:val="F194D030"/>
    <w:lvl w:ilvl="0" w:tentative="0">
      <w:start w:val="1"/>
      <w:numFmt w:val="decimal"/>
      <w:suff w:val="nothing"/>
      <w:lvlText w:val="（%1）"/>
      <w:lvlJc w:val="left"/>
    </w:lvl>
  </w:abstractNum>
  <w:abstractNum w:abstractNumId="7">
    <w:nsid w:val="1DBA0F48"/>
    <w:multiLevelType w:val="multilevel"/>
    <w:tmpl w:val="1DBA0F48"/>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
    <w:nsid w:val="1FFC1E8F"/>
    <w:multiLevelType w:val="singleLevel"/>
    <w:tmpl w:val="1FFC1E8F"/>
    <w:lvl w:ilvl="0" w:tentative="0">
      <w:start w:val="1"/>
      <w:numFmt w:val="decimal"/>
      <w:lvlText w:val="%1."/>
      <w:lvlJc w:val="left"/>
      <w:pPr>
        <w:tabs>
          <w:tab w:val="left" w:pos="312"/>
        </w:tabs>
      </w:pPr>
    </w:lvl>
  </w:abstractNum>
  <w:abstractNum w:abstractNumId="9">
    <w:nsid w:val="30EB153B"/>
    <w:multiLevelType w:val="singleLevel"/>
    <w:tmpl w:val="30EB153B"/>
    <w:lvl w:ilvl="0" w:tentative="0">
      <w:start w:val="1"/>
      <w:numFmt w:val="decimal"/>
      <w:lvlText w:val="%1."/>
      <w:lvlJc w:val="left"/>
      <w:pPr>
        <w:tabs>
          <w:tab w:val="left" w:pos="312"/>
        </w:tabs>
      </w:pPr>
    </w:lvl>
  </w:abstractNum>
  <w:abstractNum w:abstractNumId="10">
    <w:nsid w:val="44AC8B8D"/>
    <w:multiLevelType w:val="singleLevel"/>
    <w:tmpl w:val="44AC8B8D"/>
    <w:lvl w:ilvl="0" w:tentative="0">
      <w:start w:val="1"/>
      <w:numFmt w:val="decimal"/>
      <w:lvlText w:val="%1."/>
      <w:lvlJc w:val="left"/>
      <w:pPr>
        <w:tabs>
          <w:tab w:val="left" w:pos="312"/>
        </w:tabs>
      </w:pPr>
    </w:lvl>
  </w:abstractNum>
  <w:abstractNum w:abstractNumId="11">
    <w:nsid w:val="47584350"/>
    <w:multiLevelType w:val="multilevel"/>
    <w:tmpl w:val="47584350"/>
    <w:lvl w:ilvl="0" w:tentative="0">
      <w:start w:val="1"/>
      <w:numFmt w:val="decimal"/>
      <w:lvlText w:val="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AA0069"/>
    <w:multiLevelType w:val="multilevel"/>
    <w:tmpl w:val="5AAA0069"/>
    <w:lvl w:ilvl="0" w:tentative="0">
      <w:start w:val="1"/>
      <w:numFmt w:val="upperLetter"/>
      <w:lvlText w:val="%1."/>
      <w:lvlJc w:val="left"/>
      <w:pPr>
        <w:ind w:left="840" w:hanging="420"/>
      </w:pPr>
      <w:rPr>
        <w:rFonts w:hint="default"/>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3">
    <w:nsid w:val="623B537E"/>
    <w:multiLevelType w:val="singleLevel"/>
    <w:tmpl w:val="623B537E"/>
    <w:lvl w:ilvl="0" w:tentative="0">
      <w:start w:val="1"/>
      <w:numFmt w:val="chineseCounting"/>
      <w:suff w:val="nothing"/>
      <w:lvlText w:val="%1、"/>
      <w:lvlJc w:val="left"/>
      <w:rPr>
        <w:rFonts w:hint="eastAsia"/>
      </w:rPr>
    </w:lvl>
  </w:abstractNum>
  <w:abstractNum w:abstractNumId="14">
    <w:nsid w:val="65279986"/>
    <w:multiLevelType w:val="singleLevel"/>
    <w:tmpl w:val="65279986"/>
    <w:lvl w:ilvl="0" w:tentative="0">
      <w:start w:val="1"/>
      <w:numFmt w:val="decimal"/>
      <w:lvlText w:val="%1."/>
      <w:lvlJc w:val="left"/>
      <w:pPr>
        <w:tabs>
          <w:tab w:val="left" w:pos="312"/>
        </w:tabs>
      </w:pPr>
    </w:lvl>
  </w:abstractNum>
  <w:abstractNum w:abstractNumId="15">
    <w:nsid w:val="6A1E70F9"/>
    <w:multiLevelType w:val="singleLevel"/>
    <w:tmpl w:val="6A1E70F9"/>
    <w:lvl w:ilvl="0" w:tentative="0">
      <w:start w:val="1"/>
      <w:numFmt w:val="decimal"/>
      <w:lvlText w:val="%1."/>
      <w:lvlJc w:val="left"/>
      <w:pPr>
        <w:tabs>
          <w:tab w:val="left" w:pos="312"/>
        </w:tabs>
      </w:pPr>
    </w:lvl>
  </w:abstractNum>
  <w:num w:numId="1">
    <w:abstractNumId w:val="13"/>
  </w:num>
  <w:num w:numId="2">
    <w:abstractNumId w:val="6"/>
  </w:num>
  <w:num w:numId="3">
    <w:abstractNumId w:val="9"/>
  </w:num>
  <w:num w:numId="4">
    <w:abstractNumId w:val="0"/>
  </w:num>
  <w:num w:numId="5">
    <w:abstractNumId w:val="1"/>
  </w:num>
  <w:num w:numId="6">
    <w:abstractNumId w:val="10"/>
  </w:num>
  <w:num w:numId="7">
    <w:abstractNumId w:val="15"/>
  </w:num>
  <w:num w:numId="8">
    <w:abstractNumId w:val="14"/>
  </w:num>
  <w:num w:numId="9">
    <w:abstractNumId w:val="3"/>
  </w:num>
  <w:num w:numId="10">
    <w:abstractNumId w:val="8"/>
  </w:num>
  <w:num w:numId="11">
    <w:abstractNumId w:val="2"/>
  </w:num>
  <w:num w:numId="12">
    <w:abstractNumId w:val="5"/>
  </w:num>
  <w:num w:numId="13">
    <w:abstractNumId w:val="4"/>
  </w:num>
  <w:num w:numId="14">
    <w:abstractNumId w:val="7"/>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wYjVjN2RkNTE1Njc1NmI2ZjVkNmQ5YjAwZWRmMjcifQ=="/>
  </w:docVars>
  <w:rsids>
    <w:rsidRoot w:val="00172A27"/>
    <w:rsid w:val="001A54A2"/>
    <w:rsid w:val="00250554"/>
    <w:rsid w:val="00304CC5"/>
    <w:rsid w:val="00394125"/>
    <w:rsid w:val="00481AC9"/>
    <w:rsid w:val="0048497F"/>
    <w:rsid w:val="005052CC"/>
    <w:rsid w:val="0054721A"/>
    <w:rsid w:val="0057522C"/>
    <w:rsid w:val="00622C98"/>
    <w:rsid w:val="007D69BC"/>
    <w:rsid w:val="0094781C"/>
    <w:rsid w:val="009A7542"/>
    <w:rsid w:val="009C53E7"/>
    <w:rsid w:val="009C544C"/>
    <w:rsid w:val="00A20C1B"/>
    <w:rsid w:val="00A64D5B"/>
    <w:rsid w:val="00A818A1"/>
    <w:rsid w:val="00DA78A3"/>
    <w:rsid w:val="00E970C4"/>
    <w:rsid w:val="00ED3BD8"/>
    <w:rsid w:val="00F70F4F"/>
    <w:rsid w:val="03B1713F"/>
    <w:rsid w:val="03F84D6E"/>
    <w:rsid w:val="04BF6852"/>
    <w:rsid w:val="06935222"/>
    <w:rsid w:val="06B22201"/>
    <w:rsid w:val="09892226"/>
    <w:rsid w:val="0A6E5D8A"/>
    <w:rsid w:val="0B112BB9"/>
    <w:rsid w:val="0C57284E"/>
    <w:rsid w:val="12FB2185"/>
    <w:rsid w:val="13540936"/>
    <w:rsid w:val="13622204"/>
    <w:rsid w:val="157F2991"/>
    <w:rsid w:val="159541FA"/>
    <w:rsid w:val="162C6AF9"/>
    <w:rsid w:val="171D7083"/>
    <w:rsid w:val="18B74DA0"/>
    <w:rsid w:val="1D46056A"/>
    <w:rsid w:val="1D5A6E90"/>
    <w:rsid w:val="1F5350F7"/>
    <w:rsid w:val="210E7527"/>
    <w:rsid w:val="226A4C31"/>
    <w:rsid w:val="24107A5A"/>
    <w:rsid w:val="26F61189"/>
    <w:rsid w:val="27986BF5"/>
    <w:rsid w:val="27C849F9"/>
    <w:rsid w:val="2AA24C10"/>
    <w:rsid w:val="2C4F73AD"/>
    <w:rsid w:val="2DBC2723"/>
    <w:rsid w:val="329C2CB9"/>
    <w:rsid w:val="33417FE4"/>
    <w:rsid w:val="33BE4DDD"/>
    <w:rsid w:val="36032F7B"/>
    <w:rsid w:val="3644480A"/>
    <w:rsid w:val="3696023E"/>
    <w:rsid w:val="38236009"/>
    <w:rsid w:val="3C9C7C85"/>
    <w:rsid w:val="3D4F538F"/>
    <w:rsid w:val="3F780536"/>
    <w:rsid w:val="409018AF"/>
    <w:rsid w:val="42D23138"/>
    <w:rsid w:val="44E4041B"/>
    <w:rsid w:val="46F74436"/>
    <w:rsid w:val="47AA6D1C"/>
    <w:rsid w:val="47C97B02"/>
    <w:rsid w:val="48384D06"/>
    <w:rsid w:val="483D231C"/>
    <w:rsid w:val="4B993DFC"/>
    <w:rsid w:val="4EF66648"/>
    <w:rsid w:val="51041E54"/>
    <w:rsid w:val="511B4075"/>
    <w:rsid w:val="55AB3B0A"/>
    <w:rsid w:val="57D65757"/>
    <w:rsid w:val="5A737E20"/>
    <w:rsid w:val="5D072AA1"/>
    <w:rsid w:val="5DAE1D74"/>
    <w:rsid w:val="5E176D14"/>
    <w:rsid w:val="5EDF3CD6"/>
    <w:rsid w:val="5FEA53B6"/>
    <w:rsid w:val="60B60A66"/>
    <w:rsid w:val="61DF4169"/>
    <w:rsid w:val="62E06D9A"/>
    <w:rsid w:val="64D561FB"/>
    <w:rsid w:val="65FB7383"/>
    <w:rsid w:val="6621564E"/>
    <w:rsid w:val="69B4308B"/>
    <w:rsid w:val="6CAD71C1"/>
    <w:rsid w:val="6DB96A39"/>
    <w:rsid w:val="6E201C15"/>
    <w:rsid w:val="6FC7059A"/>
    <w:rsid w:val="7099406B"/>
    <w:rsid w:val="709C7722"/>
    <w:rsid w:val="733E6374"/>
    <w:rsid w:val="73687B4E"/>
    <w:rsid w:val="742053F8"/>
    <w:rsid w:val="74BA06CD"/>
    <w:rsid w:val="74FF2584"/>
    <w:rsid w:val="77712906"/>
    <w:rsid w:val="7CE64029"/>
    <w:rsid w:val="7D080444"/>
    <w:rsid w:val="7E50077B"/>
    <w:rsid w:val="7FFB6A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仿宋" w:asciiTheme="minorHAnsi" w:hAnsiTheme="minorHAnsi" w:cstheme="minorBidi"/>
      <w:kern w:val="2"/>
      <w:sz w:val="24"/>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qFormat/>
    <w:uiPriority w:val="0"/>
    <w:pPr>
      <w:autoSpaceDE w:val="0"/>
      <w:autoSpaceDN w:val="0"/>
      <w:spacing w:line="240" w:lineRule="auto"/>
      <w:ind w:left="120" w:firstLine="480"/>
      <w:jc w:val="left"/>
    </w:pPr>
    <w:rPr>
      <w:rFonts w:ascii="宋体" w:hAnsi="宋体" w:eastAsia="宋体" w:cs="宋体"/>
      <w:kern w:val="0"/>
      <w:szCs w:val="24"/>
      <w:lang w:val="zh-CN" w:bidi="zh-CN"/>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Char"/>
    <w:basedOn w:val="7"/>
    <w:link w:val="4"/>
    <w:qFormat/>
    <w:uiPriority w:val="99"/>
    <w:rPr>
      <w:sz w:val="18"/>
      <w:szCs w:val="18"/>
    </w:rPr>
  </w:style>
  <w:style w:type="character" w:customStyle="1" w:styleId="9">
    <w:name w:val="页脚 Char"/>
    <w:basedOn w:val="7"/>
    <w:link w:val="3"/>
    <w:qFormat/>
    <w:uiPriority w:val="99"/>
    <w:rPr>
      <w:sz w:val="18"/>
      <w:szCs w:val="18"/>
    </w:rPr>
  </w:style>
  <w:style w:type="paragraph" w:styleId="10">
    <w:name w:val="List Paragraph"/>
    <w:basedOn w:val="1"/>
    <w:qFormat/>
    <w:uiPriority w:val="1"/>
    <w:pPr>
      <w:ind w:firstLine="420" w:firstLineChars="200"/>
    </w:pPr>
  </w:style>
  <w:style w:type="paragraph" w:customStyle="1" w:styleId="11">
    <w:name w:val="列出段落1"/>
    <w:basedOn w:val="1"/>
    <w:qFormat/>
    <w:uiPriority w:val="0"/>
    <w:pPr>
      <w:spacing w:line="240" w:lineRule="auto"/>
      <w:ind w:firstLine="420"/>
    </w:pPr>
    <w:rPr>
      <w:rFonts w:ascii="Times New Roman" w:hAnsi="Times New Roman" w:eastAsia="宋体" w:cs="Times New Roman"/>
      <w:sz w:val="21"/>
      <w:szCs w:val="24"/>
    </w:rPr>
  </w:style>
  <w:style w:type="character" w:customStyle="1" w:styleId="12">
    <w:name w:val="正文文本 Char"/>
    <w:basedOn w:val="7"/>
    <w:link w:val="2"/>
    <w:qFormat/>
    <w:uiPriority w:val="0"/>
    <w:rPr>
      <w:rFonts w:ascii="宋体" w:hAnsi="宋体" w:eastAsia="宋体" w:cs="宋体"/>
      <w:sz w:val="24"/>
      <w:szCs w:val="24"/>
      <w:lang w:val="zh-CN" w:bidi="zh-CN"/>
    </w:rPr>
  </w:style>
  <w:style w:type="character" w:customStyle="1" w:styleId="13">
    <w:name w:val="font11"/>
    <w:basedOn w:val="7"/>
    <w:qFormat/>
    <w:uiPriority w:val="0"/>
    <w:rPr>
      <w:rFonts w:hint="eastAsia" w:ascii="宋体" w:hAnsi="宋体" w:eastAsia="宋体" w:cs="宋体"/>
      <w:color w:val="000000"/>
      <w:sz w:val="22"/>
      <w:szCs w:val="22"/>
      <w:u w:val="none"/>
    </w:rPr>
  </w:style>
  <w:style w:type="character" w:customStyle="1" w:styleId="14">
    <w:name w:val="font21"/>
    <w:basedOn w:val="7"/>
    <w:qFormat/>
    <w:uiPriority w:val="0"/>
    <w:rPr>
      <w:rFonts w:hint="eastAsia" w:ascii="宋体" w:hAnsi="宋体" w:eastAsia="宋体" w:cs="宋体"/>
      <w:color w:val="FF0000"/>
      <w:sz w:val="22"/>
      <w:szCs w:val="22"/>
      <w:u w:val="none"/>
    </w:rPr>
  </w:style>
  <w:style w:type="character" w:customStyle="1" w:styleId="15">
    <w:name w:val="font31"/>
    <w:basedOn w:val="7"/>
    <w:qFormat/>
    <w:uiPriority w:val="0"/>
    <w:rPr>
      <w:rFonts w:hint="eastAsia" w:ascii="宋体" w:hAnsi="宋体" w:eastAsia="宋体" w:cs="宋体"/>
      <w:color w:val="FF0000"/>
      <w:sz w:val="22"/>
      <w:szCs w:val="22"/>
      <w:u w:val="none"/>
    </w:rPr>
  </w:style>
  <w:style w:type="character" w:customStyle="1" w:styleId="16">
    <w:name w:val="font41"/>
    <w:basedOn w:val="7"/>
    <w:qFormat/>
    <w:uiPriority w:val="0"/>
    <w:rPr>
      <w:rFonts w:hint="eastAsia" w:ascii="宋体" w:hAnsi="宋体" w:eastAsia="宋体" w:cs="宋体"/>
      <w:b/>
      <w:bCs/>
      <w:color w:val="000000"/>
      <w:sz w:val="22"/>
      <w:szCs w:val="22"/>
      <w:u w:val="none"/>
    </w:rPr>
  </w:style>
  <w:style w:type="character" w:customStyle="1" w:styleId="17">
    <w:name w:val="font51"/>
    <w:basedOn w:val="7"/>
    <w:qFormat/>
    <w:uiPriority w:val="0"/>
    <w:rPr>
      <w:rFonts w:ascii="Arial" w:hAnsi="Arial" w:cs="Arial"/>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5192</Words>
  <Characters>5413</Characters>
  <Lines>9</Lines>
  <Paragraphs>2</Paragraphs>
  <TotalTime>6</TotalTime>
  <ScaleCrop>false</ScaleCrop>
  <LinksUpToDate>false</LinksUpToDate>
  <CharactersWithSpaces>5474</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2023-06-25T02:17:00Z</dcterms:created>
  <dc:creator>wang</dc:creator>
  <cp:lastModifiedBy>HZH</cp:lastModifiedBy>
  <dcterms:modified xsi:type="dcterms:W3CDTF">2026-04-10T06:21:19Z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B23B50CB87FD40F89C212560D0492298_12</vt:lpwstr>
  </property>
  <property fmtid="{D5CDD505-2E9C-101B-9397-08002B2CF9AE}" pid="4" name="KSOTemplateDocerSaveRecord">
    <vt:lpwstr>eyJoZGlkIjoiOTA4YjhiOTg1NTMyODhmM2NjMzYxZWJhZGY5YTFkODkiLCJ1c2VySWQiOiIxMTIxNzQ1MDc4In0=</vt:lpwstr>
  </property>
</Properties>
</file>