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1094C7">
      <w:pPr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</w:p>
    <w:p w14:paraId="501336D5">
      <w:pPr>
        <w:pStyle w:val="2"/>
        <w:numPr>
          <w:ilvl w:val="0"/>
          <w:numId w:val="0"/>
        </w:numPr>
        <w:ind w:firstLine="361" w:firstLineChars="100"/>
        <w:jc w:val="center"/>
        <w:rPr>
          <w:rFonts w:ascii="宋体" w:hAnsi="宋体" w:cs="宋体"/>
          <w:color w:val="000000" w:themeColor="text1"/>
          <w:sz w:val="36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36"/>
          <w:szCs w:val="24"/>
          <w14:textFill>
            <w14:solidFill>
              <w14:schemeClr w14:val="tx1"/>
            </w14:solidFill>
          </w14:textFill>
        </w:rPr>
        <w:t>2026年综合</w:t>
      </w:r>
      <w:r>
        <w:rPr>
          <w:rFonts w:hint="eastAsia" w:ascii="宋体" w:hAnsi="宋体" w:cs="宋体"/>
          <w:color w:val="000000" w:themeColor="text1"/>
          <w:sz w:val="36"/>
          <w:szCs w:val="24"/>
          <w:lang w:eastAsia="zh-Hans"/>
          <w14:textFill>
            <w14:solidFill>
              <w14:schemeClr w14:val="tx1"/>
            </w14:solidFill>
          </w14:textFill>
        </w:rPr>
        <w:t>布线</w:t>
      </w:r>
      <w:r>
        <w:rPr>
          <w:rFonts w:hint="eastAsia" w:ascii="宋体" w:hAnsi="宋体" w:cs="宋体"/>
          <w:color w:val="000000" w:themeColor="text1"/>
          <w:sz w:val="36"/>
          <w:szCs w:val="24"/>
          <w14:textFill>
            <w14:solidFill>
              <w14:schemeClr w14:val="tx1"/>
            </w14:solidFill>
          </w14:textFill>
        </w:rPr>
        <w:t>服务</w:t>
      </w:r>
      <w:r>
        <w:rPr>
          <w:rFonts w:hint="eastAsia" w:ascii="宋体" w:hAnsi="宋体" w:cs="宋体"/>
          <w:color w:val="000000" w:themeColor="text1"/>
          <w:sz w:val="36"/>
          <w:szCs w:val="24"/>
          <w:lang w:eastAsia="zh-Hans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cs="宋体"/>
          <w:color w:val="000000" w:themeColor="text1"/>
          <w:sz w:val="36"/>
          <w:szCs w:val="24"/>
          <w14:textFill>
            <w14:solidFill>
              <w14:schemeClr w14:val="tx1"/>
            </w14:solidFill>
          </w14:textFill>
        </w:rPr>
        <w:t>项目</w:t>
      </w:r>
    </w:p>
    <w:p w14:paraId="766755E7"/>
    <w:p w14:paraId="134641D0">
      <w:pPr>
        <w:pStyle w:val="2"/>
        <w:rPr>
          <w:rFonts w:ascii="宋体" w:hAnsi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项目概况</w:t>
      </w:r>
    </w:p>
    <w:tbl>
      <w:tblPr>
        <w:tblStyle w:val="20"/>
        <w:tblW w:w="4575" w:type="pct"/>
        <w:tblInd w:w="768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7"/>
        <w:gridCol w:w="3130"/>
        <w:gridCol w:w="824"/>
        <w:gridCol w:w="1321"/>
        <w:gridCol w:w="1538"/>
      </w:tblGrid>
      <w:tr w14:paraId="3E9A5C6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" w:hRule="atLeast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9D993D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2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B094D4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品名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517149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2AA97B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DC4DF8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金额</w:t>
            </w:r>
          </w:p>
        </w:tc>
      </w:tr>
      <w:tr w14:paraId="39F480B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5" w:hRule="atLeast"/>
        </w:trPr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DA624A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359FB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网络布线服务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（2026.8.15-2027.8.14）</w:t>
            </w:r>
          </w:p>
        </w:tc>
        <w:tc>
          <w:tcPr>
            <w:tcW w:w="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C08B75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A24E0D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300</w:t>
            </w:r>
          </w:p>
        </w:tc>
        <w:tc>
          <w:tcPr>
            <w:tcW w:w="10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C812E0"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19.41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万</w:t>
            </w:r>
          </w:p>
        </w:tc>
      </w:tr>
    </w:tbl>
    <w:p w14:paraId="6D126CBA"/>
    <w:p w14:paraId="6D9FD00C">
      <w:pPr>
        <w:pStyle w:val="41"/>
        <w:numPr>
          <w:ilvl w:val="0"/>
          <w:numId w:val="3"/>
        </w:numPr>
        <w:ind w:firstLineChars="0"/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项目名称：2</w:t>
      </w:r>
      <w:r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026年网络零星布线服务采购项目</w:t>
      </w:r>
    </w:p>
    <w:p w14:paraId="7094A734">
      <w:pPr>
        <w:pStyle w:val="41"/>
        <w:numPr>
          <w:ilvl w:val="0"/>
          <w:numId w:val="3"/>
        </w:numPr>
        <w:ind w:firstLineChars="0"/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>服务范围：全院门诊、住院、医技、行政办公、后勤等区域网络信息点新增、迁移、改造、跳线整理、故障排查与点位修复等零星布线服务。</w:t>
      </w:r>
    </w:p>
    <w:p w14:paraId="6CEF2CCC">
      <w:pPr>
        <w:pStyle w:val="41"/>
        <w:numPr>
          <w:ilvl w:val="0"/>
          <w:numId w:val="3"/>
        </w:numPr>
        <w:ind w:firstLineChars="0"/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服务周期：</w:t>
      </w:r>
      <w:r>
        <w:rPr>
          <w:rFonts w:hint="eastAsia"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一年（合同签订之日起）。</w:t>
      </w:r>
    </w:p>
    <w:p w14:paraId="7C223EC5">
      <w:pPr>
        <w:pStyle w:val="41"/>
        <w:numPr>
          <w:ilvl w:val="0"/>
          <w:numId w:val="3"/>
        </w:numPr>
        <w:ind w:firstLineChars="0"/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服务模式：按医院O</w:t>
      </w:r>
      <w:r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A审批</w:t>
      </w:r>
      <w:r>
        <w:rPr>
          <w:rFonts w:hint="eastAsia"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派单施工。</w:t>
      </w:r>
    </w:p>
    <w:p w14:paraId="77E1CFD8">
      <w:pPr>
        <w:pStyle w:val="41"/>
        <w:numPr>
          <w:ilvl w:val="0"/>
          <w:numId w:val="3"/>
        </w:numPr>
        <w:ind w:firstLineChars="0"/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>最高预算：人民币</w:t>
      </w:r>
      <w:r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>19</w:t>
      </w:r>
      <w:r>
        <w:rPr>
          <w:rFonts w:hint="eastAsia"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>.</w:t>
      </w:r>
      <w:r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 xml:space="preserve">万元（含税全包价，最高限价 </w:t>
      </w:r>
      <w:r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>19.5</w:t>
      </w:r>
      <w:r>
        <w:rPr>
          <w:rFonts w:hint="eastAsia"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 xml:space="preserve"> 万元）。</w:t>
      </w:r>
    </w:p>
    <w:p w14:paraId="58D90D9C">
      <w:pPr>
        <w:pStyle w:val="41"/>
        <w:numPr>
          <w:ilvl w:val="0"/>
          <w:numId w:val="3"/>
        </w:numPr>
        <w:ind w:firstLineChars="0"/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>结算方式：</w:t>
      </w:r>
      <w:r>
        <w:rPr>
          <w:rFonts w:hint="eastAsia"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>乙方按照合同约定和甲方网络布线要求交付实施成果，经信息中心项目负责人验收合格。甲方按季度结算，结算日为每季度结束后的30个日历日，乙方持经信息中心项目负责人签字的网络布线验收单办理结算事宜，乙方未在结算日前提交办理结算的相关资料的，款项顺延至下个结算季度进行结算，以此类推。</w:t>
      </w:r>
    </w:p>
    <w:p w14:paraId="175B1A03">
      <w:pPr>
        <w:pStyle w:val="41"/>
        <w:numPr>
          <w:ilvl w:val="0"/>
          <w:numId w:val="4"/>
        </w:numPr>
        <w:ind w:firstLineChars="0"/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b/>
          <w:color w:val="000000" w:themeColor="text1"/>
          <w:kern w:val="44"/>
          <w:szCs w:val="24"/>
          <w14:textFill>
            <w14:solidFill>
              <w14:schemeClr w14:val="tx1"/>
            </w14:solidFill>
          </w14:textFill>
        </w:rPr>
        <w:t>服务总体要求</w:t>
      </w:r>
      <w:r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>：</w:t>
      </w:r>
    </w:p>
    <w:p w14:paraId="2A7E80B4">
      <w:pPr>
        <w:pStyle w:val="41"/>
        <w:numPr>
          <w:ilvl w:val="0"/>
          <w:numId w:val="5"/>
        </w:numPr>
        <w:ind w:firstLineChars="0"/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 xml:space="preserve">符合GB/T 50311-2016《综合布线系统工程设计规范》、GB/T 50312-2016《综合布线系统工程验收规范》、ISO/IEC 11801 六类标准，满足医院 HIS、LIS、PACS、电子病历等业务系统 7×24 小时稳定运行要求。 </w:t>
      </w:r>
    </w:p>
    <w:p w14:paraId="700715E5">
      <w:pPr>
        <w:pStyle w:val="41"/>
        <w:numPr>
          <w:ilvl w:val="0"/>
          <w:numId w:val="5"/>
        </w:numPr>
        <w:ind w:firstLineChars="0"/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 xml:space="preserve">施工不中断诊疗、不干扰患者、不影响医疗设备正常使用，严格遵守医院院感、消防、安保、信息安全管理规定。 </w:t>
      </w:r>
    </w:p>
    <w:p w14:paraId="60B5442D">
      <w:pPr>
        <w:pStyle w:val="41"/>
        <w:numPr>
          <w:ilvl w:val="0"/>
          <w:numId w:val="5"/>
        </w:numPr>
        <w:ind w:firstLineChars="0"/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  <w:t xml:space="preserve">所有材料原厂正品、合格有效，严禁使用二手、非标、劣质线缆与配件。 </w:t>
      </w:r>
    </w:p>
    <w:p w14:paraId="59F29187">
      <w:pPr>
        <w:pStyle w:val="41"/>
        <w:ind w:left="840" w:firstLine="0" w:firstLineChars="0"/>
        <w:rPr>
          <w:rFonts w:ascii="宋体" w:hAnsi="宋体" w:cs="宋体"/>
          <w:color w:val="000000" w:themeColor="text1"/>
          <w:szCs w:val="24"/>
          <w:lang w:eastAsia="zh-Hans"/>
          <w14:textFill>
            <w14:solidFill>
              <w14:schemeClr w14:val="tx1"/>
            </w14:solidFill>
          </w14:textFill>
        </w:rPr>
      </w:pPr>
    </w:p>
    <w:p w14:paraId="4E367E5F">
      <w:pPr>
        <w:pStyle w:val="2"/>
        <w:numPr>
          <w:ilvl w:val="0"/>
          <w:numId w:val="0"/>
        </w:numPr>
        <w:ind w:left="432" w:hanging="432"/>
        <w:rPr>
          <w:rFonts w:ascii="宋体" w:hAnsi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三、服务内容</w:t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483"/>
        <w:gridCol w:w="5967"/>
      </w:tblGrid>
      <w:tr w14:paraId="160B3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5583AAB">
            <w:pPr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83" w:type="dxa"/>
          </w:tcPr>
          <w:p w14:paraId="0DBB7A62">
            <w:pPr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5967" w:type="dxa"/>
          </w:tcPr>
          <w:p w14:paraId="6901F9FA">
            <w:pPr>
              <w:jc w:val="center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内容</w:t>
            </w:r>
          </w:p>
        </w:tc>
      </w:tr>
      <w:tr w14:paraId="30BF0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402E5A46">
            <w:pPr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83" w:type="dxa"/>
          </w:tcPr>
          <w:p w14:paraId="0A4F3F09">
            <w:pPr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网络布线服务</w:t>
            </w:r>
          </w:p>
        </w:tc>
        <w:tc>
          <w:tcPr>
            <w:tcW w:w="5967" w:type="dxa"/>
          </w:tcPr>
          <w:p w14:paraId="017DE76B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1、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包含 300 个点位的网络零星布线服务，覆盖医院院区网络布线相关的现场勘查、实施、检测验收、故障维保等全流程工作。    </w:t>
            </w:r>
          </w:p>
          <w:p w14:paraId="268CA2B7">
            <w:pPr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2、网线要求六类非屏蔽线。</w:t>
            </w:r>
          </w:p>
          <w:p w14:paraId="081CFE02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3、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布线材料（六类非屏蔽线、模块、信息面板、跳线等）需严格按照对应的技术标准和品牌性能对标要求。</w:t>
            </w:r>
          </w:p>
          <w:p w14:paraId="43C79F4C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5、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提供 3 年的质保期限及对应的售后服务响应标准。</w:t>
            </w:r>
          </w:p>
          <w:p w14:paraId="12D8D03F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、服务要求包含不限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于如下情况：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sym w:font="Wingdings" w:char="F081"/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科室临时增加设备。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sym w:font="Wingdings" w:char="F082"/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科室布局调整。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sym w:font="Wingdings" w:char="F083"/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科室搬迁。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sym w:font="Wingdings" w:char="F084"/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现有信息点位维修。</w:t>
            </w:r>
          </w:p>
          <w:p w14:paraId="716AC6DC">
            <w:pPr>
              <w:pStyle w:val="40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、布线要求横平竖直，墙面走线槽，吊顶穿线管，地面使用耐用线槽。</w:t>
            </w:r>
          </w:p>
          <w:p w14:paraId="628BE86D">
            <w:pPr>
              <w:pStyle w:val="40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、提供完成布线的全部产品，包括面板，水晶头，网线，跳线等。</w:t>
            </w:r>
          </w:p>
          <w:p w14:paraId="1FF500A0">
            <w:pPr>
              <w:pStyle w:val="40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、网络信息点完成后医院对布线质量进行检测，主干及桌面均不低于千兆速率，出现故障需要及时更换。</w:t>
            </w:r>
          </w:p>
          <w:p w14:paraId="3C4BCD0D">
            <w:pPr>
              <w:pStyle w:val="40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、新增线缆和原有线缆要统一捆扎，避免新增线缆和原有线缆混乱。</w:t>
            </w:r>
          </w:p>
          <w:p w14:paraId="31323AF5">
            <w:pPr>
              <w:pStyle w:val="40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、按照医院时间要求完成布线现场勘查，实施和检测工作。</w:t>
            </w:r>
          </w:p>
          <w:p w14:paraId="4017A894">
            <w:pPr>
              <w:pStyle w:val="40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、一般情况布线申请提出后24小时内完成现场勘查，5个工作日内完成实施，其他特殊情况与医院商量后决定。</w:t>
            </w:r>
          </w:p>
          <w:p w14:paraId="712AAE97">
            <w:pPr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、医院将不定期进行服务质量抽查工作，需在接到整改通知后，一周内完成整改，特殊情况与医院商量后决定。</w:t>
            </w:r>
          </w:p>
          <w:p w14:paraId="3237133D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、端接标准：统一采用T568B，两端线序一致，水晶头压接牢固、无虚接。 </w:t>
            </w:r>
          </w:p>
          <w:p w14:paraId="1B0C7455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15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、敷设要求：强电弱电分离≥30cm，不与医疗设备供电线路共管；转弯平滑、无硬折、无拉伸；吊顶内穿管 / 桥架，地面 / 墙面隐蔽敷设，裸露部分加装线槽。 </w:t>
            </w:r>
          </w:p>
          <w:p w14:paraId="54167E1C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16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、标识规范：按照医院要求完成线缆、面板、跳线、配线架等标签标识工作，要求机打标签，不易脱落，点位、配线架端口、跳线两端唯一编号，标签防水防撕。 </w:t>
            </w:r>
          </w:p>
          <w:p w14:paraId="49D58CDA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、院感与安全：施工人员持有效健康证明，穿戴工服、鞋套、口罩；每日施工后清理现场，医疗区域使用一次性防尘防护；动火、开孔、穿墙须经医院审批。 </w:t>
            </w:r>
          </w:p>
          <w:p w14:paraId="4D9A7757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18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、施工时段：优先非诊疗时段（夜间 / 周末 / 节假日）；确需白天施工，经科室与信息中心批准，低噪音、快进快出。</w:t>
            </w:r>
          </w:p>
          <w:p w14:paraId="13CC7E7B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19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、施工人员，熟悉综合布线、弱电施工，无犯罪记录。 </w:t>
            </w:r>
          </w:p>
          <w:p w14:paraId="0565A606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、配备专用工具：线缆测试仪、寻线仪、压线钳、剥线钳、电钻、梯子、熔接机（光纤）、防尘用品等。 </w:t>
            </w:r>
          </w:p>
          <w:p w14:paraId="488B3C40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21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、施工人员服从医院管理，统一挂牌，严禁进入手术室、ICU、检验科等限制区域。</w:t>
            </w:r>
          </w:p>
          <w:p w14:paraId="34BAEFD2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22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、连通性测试：全点位 ping 通，无丢包、无延迟异常。 </w:t>
            </w:r>
          </w:p>
          <w:p w14:paraId="248015BB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23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、链路认证测试：使用专业测试仪完成永久链路 / 信道测试，衰减、近端串扰、回波损耗等参数达标。 </w:t>
            </w:r>
          </w:p>
          <w:p w14:paraId="5B86F3DA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24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、外观验收：面板平整、布线整齐、标识清晰、墙面 / 吊顶恢复完好。 </w:t>
            </w:r>
          </w:p>
          <w:p w14:paraId="19D551DF">
            <w:pP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25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、验收不合格限期返工，返工费用由服务商承担，延误按违约处理。</w:t>
            </w:r>
          </w:p>
          <w:p w14:paraId="6321AEA8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26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 响应时效：7×24 小时电话响应，半小时内响应，一般故障 4 小时内修复，重大故障 1 小时内解决。 </w:t>
            </w:r>
          </w:p>
          <w:p w14:paraId="1496C805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27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、遵守《网络安全法》《数据安全法》《个人信息保护法》及医疗行业数据安全规定，严禁泄露患者信息、医院业务数据。 </w:t>
            </w:r>
          </w:p>
          <w:p w14:paraId="1DC46AE6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28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、施工全程接受医院信息中心、总务处、科室三方监管，违规立即停工整改，情节严重终止合同、追究责任。 </w:t>
            </w:r>
          </w:p>
          <w:p w14:paraId="0ACE68DA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29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、施工安全由服务商全责，发生人身伤害、财产损失、医疗事故等，由服务商承担全部责任与赔偿。 </w:t>
            </w:r>
          </w:p>
          <w:p w14:paraId="1DC77244">
            <w:pP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30</w:t>
            </w:r>
            <w:r>
              <w:rPr>
                <w:rFonts w:hint="eastAsia" w:ascii="宋体" w:hAnsi="宋体" w:cs="宋体"/>
                <w:color w:val="000000" w:themeColor="text1"/>
                <w:szCs w:val="24"/>
                <w:lang w:eastAsia="zh-Hans"/>
                <w14:textFill>
                  <w14:solidFill>
                    <w14:schemeClr w14:val="tx1"/>
                  </w14:solidFill>
                </w14:textFill>
              </w:rPr>
              <w:t>、严禁擅自接入、修改、拷贝医院网络设备配置与数据，严禁带入无关存储设备</w:t>
            </w:r>
          </w:p>
        </w:tc>
      </w:tr>
      <w:tr w14:paraId="16CF1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</w:tcPr>
          <w:p w14:paraId="0C6A9457">
            <w:pPr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83" w:type="dxa"/>
          </w:tcPr>
          <w:p w14:paraId="126B09C5">
            <w:pPr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材料标准要求</w:t>
            </w:r>
          </w:p>
        </w:tc>
        <w:tc>
          <w:tcPr>
            <w:tcW w:w="5967" w:type="dxa"/>
          </w:tcPr>
          <w:p w14:paraId="410C3880">
            <w:pPr>
              <w:pStyle w:val="40"/>
              <w:ind w:firstLine="0"/>
              <w:rPr>
                <w:rFonts w:ascii="宋体" w:cs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1、六类非屏蔽双绞线缆</w:t>
            </w:r>
          </w:p>
          <w:p w14:paraId="2E7D72F5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1.1、线缆本体上需印有厂商名称及YD/T1019标准中 4.5 产品标记中所要求的型式代号、规格代号及标准编号。</w:t>
            </w:r>
          </w:p>
          <w:p w14:paraId="06B41DF9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1.2、成卷方式采用专用快速出线II式。</w:t>
            </w:r>
          </w:p>
          <w:p w14:paraId="4CCBE2FD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1.3、外箱带有出线口， 无需拆箱即可进行布线。</w:t>
            </w:r>
          </w:p>
          <w:p w14:paraId="36F3EE88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1.4、通过标准最高传输频率250MHz测试。</w:t>
            </w:r>
          </w:p>
          <w:p w14:paraId="71B44515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1.5、额定传输速率(NVP)： 不低于68%。</w:t>
            </w:r>
          </w:p>
          <w:p w14:paraId="4FF72CDC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1.6、单根导体直流电阻： ≤9.0Ω/100m。</w:t>
            </w:r>
          </w:p>
          <w:p w14:paraId="00739360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1.7、导体规格： 24AWG， 导体名称： 软圆铜线， 绝缘： HDPE 1.00±0.008mm 。</w:t>
            </w:r>
          </w:p>
          <w:p w14:paraId="56A660B5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1.8、屏蔽方式： U/UTP非屏蔽， 线对采用 “十”字骨架隔离。</w:t>
            </w:r>
          </w:p>
          <w:p w14:paraId="1AD3164F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1.9、护套材料： PVC， 护套颜色： 灰色。</w:t>
            </w:r>
          </w:p>
          <w:p w14:paraId="1A1B1CF2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1.10、最小内弯曲半径： 安装时： 8倍电缆外径， 安装后： 4倍电缆外径， 敷设方式： 钢管或阻燃硬质PVC管内。</w:t>
            </w:r>
          </w:p>
          <w:p w14:paraId="77F9B923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1.11、包装方式： ≥305米/易拉箱。</w:t>
            </w:r>
          </w:p>
          <w:p w14:paraId="570AE67A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1.12、安装温度： 0℃～ +50℃， 工作温度：-20℃～ +60℃。</w:t>
            </w:r>
          </w:p>
          <w:p w14:paraId="10E2503C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1.13、产品符合YD/T1019 标准的单体性能要求并提供第三方检验报告。</w:t>
            </w:r>
          </w:p>
          <w:p w14:paraId="03861175">
            <w:pPr>
              <w:pStyle w:val="40"/>
              <w:ind w:firstLine="0"/>
              <w:rPr>
                <w:rFonts w:ascii="宋体" w:cs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2、六类非屏蔽模块</w:t>
            </w:r>
          </w:p>
          <w:p w14:paraId="0193D931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2.1、IDC： 磷青铜， 45°。</w:t>
            </w:r>
          </w:p>
          <w:p w14:paraId="62449110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2.2、金针： 磷青铜表面镀金， 异形的金针空间排列， 有效提升近端串音余量。</w:t>
            </w:r>
          </w:p>
          <w:p w14:paraId="3C970C53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2.3、防尘盖： 透明PC材料。</w:t>
            </w:r>
          </w:p>
          <w:p w14:paraId="6952A5B6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2.4、插头与插座插合次数： ≥1000次。</w:t>
            </w:r>
          </w:p>
          <w:p w14:paraId="53DC63C4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2.5、导线端接次数： ≥250次。</w:t>
            </w:r>
          </w:p>
          <w:p w14:paraId="26AF952C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2.6、打线方式： T568A/T568B。</w:t>
            </w:r>
          </w:p>
          <w:p w14:paraId="28298BA7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2.7、IDC 与金针方向： 180度。</w:t>
            </w:r>
          </w:p>
          <w:p w14:paraId="06F1452B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2.8、卡接导体线径： 0.5mm～ 0.65mm。</w:t>
            </w:r>
            <w:r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50600127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2.9、最高传输频率： 250MHz。</w:t>
            </w:r>
          </w:p>
          <w:p w14:paraId="56D48714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2.10、额定电流： 0.75A。</w:t>
            </w:r>
          </w:p>
          <w:p w14:paraId="40B2C591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2.11、工作温度：-10℃～ +60℃。</w:t>
            </w:r>
          </w:p>
          <w:p w14:paraId="3E12808B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2.12、产品符合YD/T926.3-2009 标准的单体要求验并提供第三方检验报告。</w:t>
            </w:r>
          </w:p>
          <w:p w14:paraId="2E808DEE">
            <w:pPr>
              <w:pStyle w:val="40"/>
              <w:ind w:firstLine="0"/>
              <w:rPr>
                <w:rFonts w:ascii="宋体" w:cs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3、信息面板</w:t>
            </w:r>
          </w:p>
          <w:p w14:paraId="78ECB9C9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3.1、86 型面板</w:t>
            </w:r>
          </w:p>
          <w:p w14:paraId="20408509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3.2、信息插座与面板采用90度安装方式。</w:t>
            </w:r>
          </w:p>
          <w:p w14:paraId="1F6A2236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3.3、组合式结构， 前后双层面板设计， 外形美观， 避免固定螺丝孔外露。</w:t>
            </w:r>
          </w:p>
          <w:p w14:paraId="794F5AF4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3.4、端口带弹簧式自动回弹防尘门设计， 防止灰尘等异物侵入。</w:t>
            </w:r>
          </w:p>
          <w:p w14:paraId="61CE9CDF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3.5、带有标识纸和标识盖， 方便维护和使用。</w:t>
            </w:r>
          </w:p>
          <w:p w14:paraId="7B7E8162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3.6、端口数量： 单口/双口/三口/四口可选。</w:t>
            </w:r>
          </w:p>
          <w:p w14:paraId="5FC938AE">
            <w:pPr>
              <w:pStyle w:val="40"/>
              <w:spacing w:line="240" w:lineRule="auto"/>
              <w:ind w:firstLine="0"/>
              <w:rPr>
                <w:rFonts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3.7、面板尺寸： 高度:86mm×宽度:86mm。</w:t>
            </w:r>
          </w:p>
          <w:p w14:paraId="023FB8DB">
            <w:pPr>
              <w:spacing w:line="240" w:lineRule="auto"/>
              <w:rPr>
                <w:rFonts w:ascii="宋体" w:hAns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cs="宋体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3.8、颜色： 白色。</w:t>
            </w:r>
          </w:p>
        </w:tc>
      </w:tr>
    </w:tbl>
    <w:p w14:paraId="5D7A2ABC">
      <w:pPr>
        <w:rPr>
          <w:rFonts w:ascii="宋体" w:hAns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</w:p>
    <w:p w14:paraId="61A701F5">
      <w:pPr>
        <w:pStyle w:val="2"/>
        <w:numPr>
          <w:ilvl w:val="0"/>
          <w:numId w:val="4"/>
        </w:numPr>
        <w:rPr>
          <w:rFonts w:ascii="宋体" w:hAnsi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服务交付物</w:t>
      </w:r>
    </w:p>
    <w:p w14:paraId="0BA42748">
      <w:pPr>
        <w:pStyle w:val="40"/>
        <w:ind w:firstLine="0"/>
        <w:rPr>
          <w:rFonts w:asci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asci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O</w:t>
      </w:r>
      <w:r>
        <w:rPr>
          <w:rFonts w:asci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A系统申请审批单据。</w:t>
      </w:r>
    </w:p>
    <w:p w14:paraId="3947AA34">
      <w:pPr>
        <w:pStyle w:val="40"/>
        <w:ind w:firstLine="0"/>
        <w:rPr>
          <w:rFonts w:asci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cs="宋体"/>
          <w:color w:val="000000" w:themeColor="text1"/>
          <w:szCs w:val="24"/>
          <w14:textFill>
            <w14:solidFill>
              <w14:schemeClr w14:val="tx1"/>
            </w14:solidFill>
          </w14:textFill>
        </w:rPr>
        <w:t>2、施工后现场状况确认记录表。</w:t>
      </w:r>
    </w:p>
    <w:p w14:paraId="533B2F0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ejaVu Sans">
    <w:altName w:val="Segoe Print"/>
    <w:panose1 w:val="00000000000000000000"/>
    <w:charset w:val="00"/>
    <w:family w:val="roman"/>
    <w:pitch w:val="default"/>
    <w:sig w:usb0="00000000" w:usb1="00000000" w:usb2="0A246029" w:usb3="0400200C" w:csb0="600001FF" w:csb1="D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25239D"/>
    <w:multiLevelType w:val="multilevel"/>
    <w:tmpl w:val="0C25239D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53DD104C"/>
    <w:multiLevelType w:val="multilevel"/>
    <w:tmpl w:val="53DD104C"/>
    <w:lvl w:ilvl="0" w:tentative="0">
      <w:start w:val="2"/>
      <w:numFmt w:val="japaneseCounting"/>
      <w:lvlText w:val="%1、"/>
      <w:lvlJc w:val="left"/>
      <w:pPr>
        <w:ind w:left="504" w:hanging="504"/>
      </w:pPr>
      <w:rPr>
        <w:rFonts w:hint="default"/>
        <w:b/>
        <w:lang w:val="en-US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F29FB43"/>
    <w:multiLevelType w:val="multilevel"/>
    <w:tmpl w:val="5F29FB43"/>
    <w:lvl w:ilvl="0" w:tentative="0">
      <w:start w:val="1"/>
      <w:numFmt w:val="chineseCountingThousand"/>
      <w:pStyle w:val="2"/>
      <w:lvlText w:val="%1、"/>
      <w:lvlJc w:val="left"/>
      <w:pPr>
        <w:ind w:left="432" w:hanging="432"/>
      </w:pPr>
      <w:rPr>
        <w:rFonts w:hint="default"/>
      </w:rPr>
    </w:lvl>
    <w:lvl w:ilvl="1" w:tentative="0">
      <w:start w:val="1"/>
      <w:numFmt w:val="chineseCountingThousand"/>
      <w:pStyle w:val="3"/>
      <w:lvlText w:val="(%2)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64107769"/>
    <w:multiLevelType w:val="multilevel"/>
    <w:tmpl w:val="64107769"/>
    <w:lvl w:ilvl="0" w:tentative="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6E230785"/>
    <w:multiLevelType w:val="multilevel"/>
    <w:tmpl w:val="6E230785"/>
    <w:lvl w:ilvl="0" w:tentative="0">
      <w:start w:val="1"/>
      <w:numFmt w:val="bullet"/>
      <w:pStyle w:val="31"/>
      <w:lvlText w:val=""/>
      <w:lvlJc w:val="left"/>
      <w:pPr>
        <w:tabs>
          <w:tab w:val="left" w:pos="284"/>
        </w:tabs>
        <w:ind w:left="284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I4YmFmMGQ1MDIyOTQ3MTc0MWYzYzY5YmFhYTFiMTQifQ=="/>
  </w:docVars>
  <w:rsids>
    <w:rsidRoot w:val="00215EB1"/>
    <w:rsid w:val="00005ECF"/>
    <w:rsid w:val="00012023"/>
    <w:rsid w:val="000405AC"/>
    <w:rsid w:val="00044763"/>
    <w:rsid w:val="00047B21"/>
    <w:rsid w:val="000560E9"/>
    <w:rsid w:val="00057392"/>
    <w:rsid w:val="000657E1"/>
    <w:rsid w:val="00077951"/>
    <w:rsid w:val="00082CE8"/>
    <w:rsid w:val="000A3087"/>
    <w:rsid w:val="000B4464"/>
    <w:rsid w:val="000C2E82"/>
    <w:rsid w:val="000D01DC"/>
    <w:rsid w:val="000D1384"/>
    <w:rsid w:val="000D3158"/>
    <w:rsid w:val="000D3EBB"/>
    <w:rsid w:val="000E6C73"/>
    <w:rsid w:val="000F486D"/>
    <w:rsid w:val="00100D30"/>
    <w:rsid w:val="00105CA5"/>
    <w:rsid w:val="00124E57"/>
    <w:rsid w:val="00125423"/>
    <w:rsid w:val="0012714D"/>
    <w:rsid w:val="00141A47"/>
    <w:rsid w:val="00142627"/>
    <w:rsid w:val="00163E41"/>
    <w:rsid w:val="00172FA7"/>
    <w:rsid w:val="00182483"/>
    <w:rsid w:val="00192276"/>
    <w:rsid w:val="00195AEE"/>
    <w:rsid w:val="001A7C1F"/>
    <w:rsid w:val="001B1E5A"/>
    <w:rsid w:val="001B2166"/>
    <w:rsid w:val="001C56CA"/>
    <w:rsid w:val="001C6C64"/>
    <w:rsid w:val="001D2021"/>
    <w:rsid w:val="001D22E3"/>
    <w:rsid w:val="001D30C8"/>
    <w:rsid w:val="001D4125"/>
    <w:rsid w:val="00211F50"/>
    <w:rsid w:val="00215EB1"/>
    <w:rsid w:val="00226165"/>
    <w:rsid w:val="00241E44"/>
    <w:rsid w:val="00245460"/>
    <w:rsid w:val="0025327C"/>
    <w:rsid w:val="00257ECA"/>
    <w:rsid w:val="00262076"/>
    <w:rsid w:val="00262E91"/>
    <w:rsid w:val="00265555"/>
    <w:rsid w:val="00276FFB"/>
    <w:rsid w:val="0029220D"/>
    <w:rsid w:val="002A028F"/>
    <w:rsid w:val="002A2F22"/>
    <w:rsid w:val="002A485B"/>
    <w:rsid w:val="002B3724"/>
    <w:rsid w:val="002B4D94"/>
    <w:rsid w:val="002C174D"/>
    <w:rsid w:val="002C347D"/>
    <w:rsid w:val="002C47E0"/>
    <w:rsid w:val="002D16C7"/>
    <w:rsid w:val="002E2553"/>
    <w:rsid w:val="0030283E"/>
    <w:rsid w:val="00305790"/>
    <w:rsid w:val="003064FF"/>
    <w:rsid w:val="00316E7F"/>
    <w:rsid w:val="00321A2A"/>
    <w:rsid w:val="00323B0A"/>
    <w:rsid w:val="003340C1"/>
    <w:rsid w:val="00342205"/>
    <w:rsid w:val="00343C00"/>
    <w:rsid w:val="00343F0A"/>
    <w:rsid w:val="003475F0"/>
    <w:rsid w:val="00351C6E"/>
    <w:rsid w:val="003563CB"/>
    <w:rsid w:val="00386D7B"/>
    <w:rsid w:val="00391C08"/>
    <w:rsid w:val="003A0284"/>
    <w:rsid w:val="003A25FD"/>
    <w:rsid w:val="003A42B1"/>
    <w:rsid w:val="003A6F1C"/>
    <w:rsid w:val="003A738A"/>
    <w:rsid w:val="003B5E0C"/>
    <w:rsid w:val="003C7FD9"/>
    <w:rsid w:val="003D6B02"/>
    <w:rsid w:val="003E1C96"/>
    <w:rsid w:val="003E2417"/>
    <w:rsid w:val="0040427B"/>
    <w:rsid w:val="00407060"/>
    <w:rsid w:val="00411CDE"/>
    <w:rsid w:val="00412AF3"/>
    <w:rsid w:val="00430AAF"/>
    <w:rsid w:val="004314CA"/>
    <w:rsid w:val="00443828"/>
    <w:rsid w:val="004452B1"/>
    <w:rsid w:val="00457032"/>
    <w:rsid w:val="00460C8B"/>
    <w:rsid w:val="004722E1"/>
    <w:rsid w:val="004A1EC6"/>
    <w:rsid w:val="004B371A"/>
    <w:rsid w:val="004B5E13"/>
    <w:rsid w:val="004C1E2A"/>
    <w:rsid w:val="004C4504"/>
    <w:rsid w:val="004E7141"/>
    <w:rsid w:val="004E774B"/>
    <w:rsid w:val="004F6B50"/>
    <w:rsid w:val="00513601"/>
    <w:rsid w:val="00513638"/>
    <w:rsid w:val="00524C60"/>
    <w:rsid w:val="00536D75"/>
    <w:rsid w:val="00542A3A"/>
    <w:rsid w:val="00554C6F"/>
    <w:rsid w:val="0055769E"/>
    <w:rsid w:val="00564A81"/>
    <w:rsid w:val="00571796"/>
    <w:rsid w:val="00592BE3"/>
    <w:rsid w:val="00594E00"/>
    <w:rsid w:val="005B112D"/>
    <w:rsid w:val="005B6DE5"/>
    <w:rsid w:val="005C4C5D"/>
    <w:rsid w:val="005D481B"/>
    <w:rsid w:val="005E1F7B"/>
    <w:rsid w:val="006078F4"/>
    <w:rsid w:val="00610FA9"/>
    <w:rsid w:val="00612A35"/>
    <w:rsid w:val="00615BFB"/>
    <w:rsid w:val="00626866"/>
    <w:rsid w:val="0063080F"/>
    <w:rsid w:val="00633F83"/>
    <w:rsid w:val="00637912"/>
    <w:rsid w:val="0064055B"/>
    <w:rsid w:val="00642113"/>
    <w:rsid w:val="006472E9"/>
    <w:rsid w:val="00647AF9"/>
    <w:rsid w:val="00652BCA"/>
    <w:rsid w:val="00653EBB"/>
    <w:rsid w:val="00662545"/>
    <w:rsid w:val="00674A1B"/>
    <w:rsid w:val="00684A3B"/>
    <w:rsid w:val="006A108B"/>
    <w:rsid w:val="006A175F"/>
    <w:rsid w:val="006B0152"/>
    <w:rsid w:val="006C3C59"/>
    <w:rsid w:val="006D2FB2"/>
    <w:rsid w:val="006D7C85"/>
    <w:rsid w:val="006E0B3D"/>
    <w:rsid w:val="006E1182"/>
    <w:rsid w:val="006F7F06"/>
    <w:rsid w:val="00702212"/>
    <w:rsid w:val="00703F94"/>
    <w:rsid w:val="00706699"/>
    <w:rsid w:val="00712304"/>
    <w:rsid w:val="00747E91"/>
    <w:rsid w:val="0075144C"/>
    <w:rsid w:val="00760B73"/>
    <w:rsid w:val="00762A2C"/>
    <w:rsid w:val="00764EA2"/>
    <w:rsid w:val="00766E86"/>
    <w:rsid w:val="00790F6B"/>
    <w:rsid w:val="00794EF8"/>
    <w:rsid w:val="007972B1"/>
    <w:rsid w:val="007A16F8"/>
    <w:rsid w:val="007A3D59"/>
    <w:rsid w:val="007B366A"/>
    <w:rsid w:val="007F6765"/>
    <w:rsid w:val="00805953"/>
    <w:rsid w:val="0085096F"/>
    <w:rsid w:val="00853594"/>
    <w:rsid w:val="008622ED"/>
    <w:rsid w:val="00864E41"/>
    <w:rsid w:val="00873B6D"/>
    <w:rsid w:val="00887526"/>
    <w:rsid w:val="008A59EC"/>
    <w:rsid w:val="008B7D7A"/>
    <w:rsid w:val="008B7FAD"/>
    <w:rsid w:val="008C0B4D"/>
    <w:rsid w:val="008E26F2"/>
    <w:rsid w:val="008F67AE"/>
    <w:rsid w:val="009113A1"/>
    <w:rsid w:val="00922C11"/>
    <w:rsid w:val="00932639"/>
    <w:rsid w:val="00951A49"/>
    <w:rsid w:val="00954D61"/>
    <w:rsid w:val="00957638"/>
    <w:rsid w:val="009616E0"/>
    <w:rsid w:val="00965264"/>
    <w:rsid w:val="00965C71"/>
    <w:rsid w:val="00982F2C"/>
    <w:rsid w:val="009A03B2"/>
    <w:rsid w:val="009A194B"/>
    <w:rsid w:val="009B0BF6"/>
    <w:rsid w:val="009B5FAA"/>
    <w:rsid w:val="009B71A6"/>
    <w:rsid w:val="009C1F29"/>
    <w:rsid w:val="009C2E32"/>
    <w:rsid w:val="009C7372"/>
    <w:rsid w:val="009D2939"/>
    <w:rsid w:val="009D454C"/>
    <w:rsid w:val="00A03F0B"/>
    <w:rsid w:val="00A07BAE"/>
    <w:rsid w:val="00A17B48"/>
    <w:rsid w:val="00A20F42"/>
    <w:rsid w:val="00A23D56"/>
    <w:rsid w:val="00A319AB"/>
    <w:rsid w:val="00A53733"/>
    <w:rsid w:val="00A721FF"/>
    <w:rsid w:val="00A72D69"/>
    <w:rsid w:val="00A73BA4"/>
    <w:rsid w:val="00A74E85"/>
    <w:rsid w:val="00A839DD"/>
    <w:rsid w:val="00A84E01"/>
    <w:rsid w:val="00A94355"/>
    <w:rsid w:val="00A97CDC"/>
    <w:rsid w:val="00AC57D6"/>
    <w:rsid w:val="00AF3858"/>
    <w:rsid w:val="00B02D5C"/>
    <w:rsid w:val="00B17948"/>
    <w:rsid w:val="00B17D99"/>
    <w:rsid w:val="00B22808"/>
    <w:rsid w:val="00B43E34"/>
    <w:rsid w:val="00B54AB6"/>
    <w:rsid w:val="00B71EA7"/>
    <w:rsid w:val="00B747FF"/>
    <w:rsid w:val="00B82C44"/>
    <w:rsid w:val="00B82E83"/>
    <w:rsid w:val="00B85800"/>
    <w:rsid w:val="00B966D3"/>
    <w:rsid w:val="00BA1057"/>
    <w:rsid w:val="00BB1D30"/>
    <w:rsid w:val="00BB5130"/>
    <w:rsid w:val="00BC7884"/>
    <w:rsid w:val="00BD3CD9"/>
    <w:rsid w:val="00BD44D5"/>
    <w:rsid w:val="00BF545F"/>
    <w:rsid w:val="00C00B58"/>
    <w:rsid w:val="00C1048F"/>
    <w:rsid w:val="00C25179"/>
    <w:rsid w:val="00C25A7D"/>
    <w:rsid w:val="00C30F50"/>
    <w:rsid w:val="00C32A38"/>
    <w:rsid w:val="00C426DF"/>
    <w:rsid w:val="00C4520C"/>
    <w:rsid w:val="00C554D4"/>
    <w:rsid w:val="00C61D21"/>
    <w:rsid w:val="00C66EFF"/>
    <w:rsid w:val="00C723AF"/>
    <w:rsid w:val="00C74C03"/>
    <w:rsid w:val="00CA4265"/>
    <w:rsid w:val="00CA5E95"/>
    <w:rsid w:val="00CB12B7"/>
    <w:rsid w:val="00CB12FB"/>
    <w:rsid w:val="00CD5843"/>
    <w:rsid w:val="00CF0CBC"/>
    <w:rsid w:val="00CF0D4F"/>
    <w:rsid w:val="00CF2A83"/>
    <w:rsid w:val="00D162A8"/>
    <w:rsid w:val="00D25316"/>
    <w:rsid w:val="00D36178"/>
    <w:rsid w:val="00D528E0"/>
    <w:rsid w:val="00D562C9"/>
    <w:rsid w:val="00D644F0"/>
    <w:rsid w:val="00D648EA"/>
    <w:rsid w:val="00D656DE"/>
    <w:rsid w:val="00D67A74"/>
    <w:rsid w:val="00D75382"/>
    <w:rsid w:val="00D810CD"/>
    <w:rsid w:val="00D90846"/>
    <w:rsid w:val="00D93BEA"/>
    <w:rsid w:val="00DB4B70"/>
    <w:rsid w:val="00DC400A"/>
    <w:rsid w:val="00DD320C"/>
    <w:rsid w:val="00DD6B8B"/>
    <w:rsid w:val="00DF6AC5"/>
    <w:rsid w:val="00E25557"/>
    <w:rsid w:val="00E33D05"/>
    <w:rsid w:val="00E416B0"/>
    <w:rsid w:val="00E521D5"/>
    <w:rsid w:val="00E61421"/>
    <w:rsid w:val="00E65584"/>
    <w:rsid w:val="00E838D0"/>
    <w:rsid w:val="00EA449E"/>
    <w:rsid w:val="00EE076E"/>
    <w:rsid w:val="00EE7CDD"/>
    <w:rsid w:val="00EF1BF0"/>
    <w:rsid w:val="00F11DAD"/>
    <w:rsid w:val="00F12E26"/>
    <w:rsid w:val="00F30343"/>
    <w:rsid w:val="00F44C00"/>
    <w:rsid w:val="00F44C96"/>
    <w:rsid w:val="00F45168"/>
    <w:rsid w:val="00F4721F"/>
    <w:rsid w:val="00F50023"/>
    <w:rsid w:val="00F73A79"/>
    <w:rsid w:val="00F73CE7"/>
    <w:rsid w:val="00F76BDF"/>
    <w:rsid w:val="00F96E84"/>
    <w:rsid w:val="00FA32A0"/>
    <w:rsid w:val="00FB0AAA"/>
    <w:rsid w:val="00FB0DFC"/>
    <w:rsid w:val="00FB46AF"/>
    <w:rsid w:val="00FC04E9"/>
    <w:rsid w:val="00FC0BA6"/>
    <w:rsid w:val="00FC461D"/>
    <w:rsid w:val="00FD3D79"/>
    <w:rsid w:val="03735CE9"/>
    <w:rsid w:val="03981F66"/>
    <w:rsid w:val="05687F3F"/>
    <w:rsid w:val="08E17CA5"/>
    <w:rsid w:val="1E3FAB06"/>
    <w:rsid w:val="1FCD916F"/>
    <w:rsid w:val="20A98C55"/>
    <w:rsid w:val="2EFBBB10"/>
    <w:rsid w:val="2FFB32A5"/>
    <w:rsid w:val="30033D52"/>
    <w:rsid w:val="32AB2000"/>
    <w:rsid w:val="35794DFD"/>
    <w:rsid w:val="365377F4"/>
    <w:rsid w:val="36DF7071"/>
    <w:rsid w:val="381271F1"/>
    <w:rsid w:val="3CEB1687"/>
    <w:rsid w:val="3D4C4C6B"/>
    <w:rsid w:val="3DDC366C"/>
    <w:rsid w:val="3F6F4C0C"/>
    <w:rsid w:val="3FB7F19C"/>
    <w:rsid w:val="3FE7A282"/>
    <w:rsid w:val="48F44F38"/>
    <w:rsid w:val="4DFFEF47"/>
    <w:rsid w:val="4F7955FF"/>
    <w:rsid w:val="4FFF20A1"/>
    <w:rsid w:val="50D621CC"/>
    <w:rsid w:val="51B93D0A"/>
    <w:rsid w:val="52D715F8"/>
    <w:rsid w:val="5457203C"/>
    <w:rsid w:val="5703698C"/>
    <w:rsid w:val="57ABF3B2"/>
    <w:rsid w:val="57D3B04C"/>
    <w:rsid w:val="590F0F7A"/>
    <w:rsid w:val="5ABA703E"/>
    <w:rsid w:val="5C9DA247"/>
    <w:rsid w:val="5EEAE5A7"/>
    <w:rsid w:val="5F38AF6C"/>
    <w:rsid w:val="5FDFB220"/>
    <w:rsid w:val="6CD23598"/>
    <w:rsid w:val="6FBB4D79"/>
    <w:rsid w:val="6FDF6B40"/>
    <w:rsid w:val="6FDFC24B"/>
    <w:rsid w:val="707E9BEF"/>
    <w:rsid w:val="727F5F01"/>
    <w:rsid w:val="75FC9208"/>
    <w:rsid w:val="76FF9861"/>
    <w:rsid w:val="7811385C"/>
    <w:rsid w:val="78EBDB5B"/>
    <w:rsid w:val="78F27F15"/>
    <w:rsid w:val="7A3E0A1B"/>
    <w:rsid w:val="7BB40B99"/>
    <w:rsid w:val="7BFF5F2F"/>
    <w:rsid w:val="7C424C0A"/>
    <w:rsid w:val="7C973260"/>
    <w:rsid w:val="7D1E01D1"/>
    <w:rsid w:val="7DEDDE6D"/>
    <w:rsid w:val="7DFAADEA"/>
    <w:rsid w:val="7EA68184"/>
    <w:rsid w:val="7EBF2638"/>
    <w:rsid w:val="7EEF79B1"/>
    <w:rsid w:val="7EF70124"/>
    <w:rsid w:val="7F445300"/>
    <w:rsid w:val="7F590D68"/>
    <w:rsid w:val="7F7FEF4F"/>
    <w:rsid w:val="7F8ACDFF"/>
    <w:rsid w:val="7FDD24CA"/>
    <w:rsid w:val="7FF60A3A"/>
    <w:rsid w:val="7FF7D7AB"/>
    <w:rsid w:val="7FFD9792"/>
    <w:rsid w:val="7FFE9A25"/>
    <w:rsid w:val="8BF3306E"/>
    <w:rsid w:val="8BFF51DD"/>
    <w:rsid w:val="8DE5CF4C"/>
    <w:rsid w:val="9BBF07A0"/>
    <w:rsid w:val="9F5728B1"/>
    <w:rsid w:val="9FF7B3C6"/>
    <w:rsid w:val="A5F20654"/>
    <w:rsid w:val="AFFFA92C"/>
    <w:rsid w:val="AFFFDDB9"/>
    <w:rsid w:val="B83FBCF2"/>
    <w:rsid w:val="BB1FA24E"/>
    <w:rsid w:val="BDDEEFEC"/>
    <w:rsid w:val="BF767945"/>
    <w:rsid w:val="C5F87A08"/>
    <w:rsid w:val="D3570563"/>
    <w:rsid w:val="D6BD510F"/>
    <w:rsid w:val="DDA44999"/>
    <w:rsid w:val="DFBB913F"/>
    <w:rsid w:val="DFFDEB62"/>
    <w:rsid w:val="E5CF482E"/>
    <w:rsid w:val="E5CF88B4"/>
    <w:rsid w:val="E7FC34FF"/>
    <w:rsid w:val="EBFE70E5"/>
    <w:rsid w:val="EF7D2639"/>
    <w:rsid w:val="EFF98F31"/>
    <w:rsid w:val="EFFCAD88"/>
    <w:rsid w:val="EFFEBDC4"/>
    <w:rsid w:val="F3D2B255"/>
    <w:rsid w:val="F3DF4845"/>
    <w:rsid w:val="F77DFF62"/>
    <w:rsid w:val="F7B7FF21"/>
    <w:rsid w:val="F7CF2583"/>
    <w:rsid w:val="F7EA981E"/>
    <w:rsid w:val="FBBF38E7"/>
    <w:rsid w:val="FBF51D5C"/>
    <w:rsid w:val="FCFF1A69"/>
    <w:rsid w:val="FDFEC407"/>
    <w:rsid w:val="FEE24CBC"/>
    <w:rsid w:val="FFB39AD0"/>
    <w:rsid w:val="FFBDA828"/>
    <w:rsid w:val="FFBFB4F6"/>
    <w:rsid w:val="FFDF70BA"/>
    <w:rsid w:val="FFFBE68C"/>
    <w:rsid w:val="FFFF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iPriority="99" w:semiHidden="0" w:name="Body Text First Indent 2"/>
    <w:lsdException w:uiPriority="99" w:name="Note Heading"/>
    <w:lsdException w:qFormat="1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outlineLvl w:val="0"/>
    </w:pPr>
    <w:rPr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outlineLvl w:val="1"/>
    </w:pPr>
    <w:rPr>
      <w:rFonts w:ascii="DejaVu Sans" w:hAnsi="DejaVu Sans" w:eastAsia="方正黑体_GBK"/>
      <w:b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DejaVu Sans" w:hAnsi="DejaVu Sans" w:eastAsia="方正黑体_GBK"/>
      <w:b/>
      <w:sz w:val="28"/>
    </w:rPr>
  </w:style>
  <w:style w:type="paragraph" w:styleId="6">
    <w:name w:val="heading 5"/>
    <w:basedOn w:val="1"/>
    <w:next w:val="1"/>
    <w:unhideWhenUsed/>
    <w:qFormat/>
    <w:uiPriority w:val="9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9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DejaVu Sans" w:hAnsi="DejaVu Sans" w:eastAsia="方正黑体_GBK"/>
      <w:b/>
    </w:rPr>
  </w:style>
  <w:style w:type="paragraph" w:styleId="8">
    <w:name w:val="heading 7"/>
    <w:basedOn w:val="1"/>
    <w:next w:val="1"/>
    <w:unhideWhenUsed/>
    <w:qFormat/>
    <w:uiPriority w:val="9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</w:rPr>
  </w:style>
  <w:style w:type="paragraph" w:styleId="9">
    <w:name w:val="heading 8"/>
    <w:basedOn w:val="1"/>
    <w:next w:val="1"/>
    <w:unhideWhenUsed/>
    <w:qFormat/>
    <w:uiPriority w:val="9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DejaVu Sans" w:hAnsi="DejaVu Sans" w:eastAsia="方正黑体_GBK"/>
    </w:rPr>
  </w:style>
  <w:style w:type="paragraph" w:styleId="10">
    <w:name w:val="heading 9"/>
    <w:basedOn w:val="1"/>
    <w:next w:val="1"/>
    <w:unhideWhenUsed/>
    <w:qFormat/>
    <w:uiPriority w:val="9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DejaVu Sans" w:hAnsi="DejaVu Sans" w:eastAsia="方正黑体_GBK"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unhideWhenUsed/>
    <w:qFormat/>
    <w:uiPriority w:val="99"/>
    <w:pPr>
      <w:jc w:val="left"/>
    </w:pPr>
  </w:style>
  <w:style w:type="paragraph" w:styleId="12">
    <w:name w:val="Body Text"/>
    <w:basedOn w:val="1"/>
    <w:next w:val="1"/>
    <w:unhideWhenUsed/>
    <w:qFormat/>
    <w:uiPriority w:val="99"/>
    <w:pPr>
      <w:spacing w:after="120"/>
    </w:pPr>
  </w:style>
  <w:style w:type="paragraph" w:styleId="13">
    <w:name w:val="Body Text Indent"/>
    <w:basedOn w:val="1"/>
    <w:next w:val="14"/>
    <w:unhideWhenUsed/>
    <w:qFormat/>
    <w:uiPriority w:val="99"/>
    <w:pPr>
      <w:spacing w:after="120"/>
      <w:ind w:left="420" w:leftChars="200"/>
    </w:pPr>
  </w:style>
  <w:style w:type="paragraph" w:styleId="14">
    <w:name w:val="Body Text First Indent 2"/>
    <w:basedOn w:val="13"/>
    <w:unhideWhenUsed/>
    <w:qFormat/>
    <w:uiPriority w:val="99"/>
    <w:pPr>
      <w:tabs>
        <w:tab w:val="left" w:pos="720"/>
      </w:tabs>
      <w:ind w:firstLine="420"/>
    </w:pPr>
  </w:style>
  <w:style w:type="paragraph" w:styleId="15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Body Text 2"/>
    <w:basedOn w:val="1"/>
    <w:unhideWhenUsed/>
    <w:qFormat/>
    <w:uiPriority w:val="99"/>
    <w:pPr>
      <w:spacing w:line="480" w:lineRule="auto"/>
    </w:pPr>
    <w:rPr>
      <w:rFonts w:eastAsiaTheme="minorEastAsia"/>
    </w:rPr>
  </w:style>
  <w:style w:type="paragraph" w:styleId="18">
    <w:name w:val="Normal (Web)"/>
    <w:basedOn w:val="1"/>
    <w:unhideWhenUsed/>
    <w:qFormat/>
    <w:uiPriority w:val="99"/>
    <w:pPr>
      <w:spacing w:beforeAutospacing="1" w:afterAutospacing="1"/>
      <w:jc w:val="left"/>
    </w:pPr>
    <w:rPr>
      <w:rFonts w:cs="Times New Roman"/>
      <w:kern w:val="0"/>
    </w:rPr>
  </w:style>
  <w:style w:type="paragraph" w:styleId="19">
    <w:name w:val="Body Text First Indent"/>
    <w:basedOn w:val="12"/>
    <w:unhideWhenUsed/>
    <w:qFormat/>
    <w:uiPriority w:val="99"/>
    <w:pPr>
      <w:ind w:firstLine="420" w:firstLineChars="100"/>
    </w:pPr>
    <w:rPr>
      <w:rFonts w:ascii="Calibri" w:hAnsi="Calibri"/>
    </w:rPr>
  </w:style>
  <w:style w:type="table" w:styleId="21">
    <w:name w:val="Table Grid"/>
    <w:basedOn w:val="2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3">
    <w:name w:val="Strong"/>
    <w:basedOn w:val="22"/>
    <w:qFormat/>
    <w:uiPriority w:val="22"/>
    <w:rPr>
      <w:b/>
      <w:bCs/>
    </w:rPr>
  </w:style>
  <w:style w:type="character" w:styleId="24">
    <w:name w:val="Hyperlink"/>
    <w:basedOn w:val="22"/>
    <w:semiHidden/>
    <w:unhideWhenUsed/>
    <w:qFormat/>
    <w:uiPriority w:val="99"/>
    <w:rPr>
      <w:color w:val="0000FF"/>
      <w:u w:val="single"/>
    </w:rPr>
  </w:style>
  <w:style w:type="character" w:styleId="25">
    <w:name w:val="annotation reference"/>
    <w:basedOn w:val="22"/>
    <w:unhideWhenUsed/>
    <w:qFormat/>
    <w:uiPriority w:val="99"/>
    <w:rPr>
      <w:sz w:val="21"/>
      <w:szCs w:val="21"/>
    </w:rPr>
  </w:style>
  <w:style w:type="paragraph" w:customStyle="1" w:styleId="26">
    <w:name w:val="列出段落1"/>
    <w:basedOn w:val="1"/>
    <w:qFormat/>
    <w:uiPriority w:val="34"/>
    <w:pPr>
      <w:ind w:firstLine="420" w:firstLineChars="200"/>
    </w:pPr>
  </w:style>
  <w:style w:type="character" w:customStyle="1" w:styleId="27">
    <w:name w:val="页眉 Char"/>
    <w:basedOn w:val="22"/>
    <w:link w:val="16"/>
    <w:qFormat/>
    <w:uiPriority w:val="99"/>
    <w:rPr>
      <w:sz w:val="18"/>
      <w:szCs w:val="18"/>
    </w:rPr>
  </w:style>
  <w:style w:type="character" w:customStyle="1" w:styleId="28">
    <w:name w:val="页脚 Char"/>
    <w:basedOn w:val="22"/>
    <w:link w:val="15"/>
    <w:qFormat/>
    <w:uiPriority w:val="99"/>
    <w:rPr>
      <w:sz w:val="18"/>
      <w:szCs w:val="18"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微软雅黑" w:eastAsia="微软雅黑" w:cs="微软雅黑" w:hAnsiTheme="minorHAnsi"/>
      <w:color w:val="000000"/>
      <w:sz w:val="24"/>
      <w:szCs w:val="24"/>
      <w:lang w:val="en-US" w:eastAsia="zh-CN" w:bidi="ar-SA"/>
    </w:rPr>
  </w:style>
  <w:style w:type="table" w:customStyle="1" w:styleId="30">
    <w:name w:val="Table Normal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1">
    <w:name w:val="Item List in Table"/>
    <w:basedOn w:val="1"/>
    <w:qFormat/>
    <w:uiPriority w:val="0"/>
    <w:pPr>
      <w:widowControl/>
      <w:numPr>
        <w:ilvl w:val="0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ascii="Times New Roman" w:hAnsi="Times New Roman" w:cs="Arial"/>
      <w:kern w:val="0"/>
      <w:szCs w:val="21"/>
    </w:rPr>
  </w:style>
  <w:style w:type="paragraph" w:customStyle="1" w:styleId="32">
    <w:name w:val="正文 首行缩进:  2 字符"/>
    <w:basedOn w:val="1"/>
    <w:qFormat/>
    <w:uiPriority w:val="0"/>
    <w:pPr>
      <w:ind w:firstLine="579" w:firstLineChars="200"/>
    </w:pPr>
    <w:rPr>
      <w:rFonts w:ascii="Calibri" w:hAnsi="Calibri"/>
      <w:szCs w:val="20"/>
    </w:rPr>
  </w:style>
  <w:style w:type="character" w:customStyle="1" w:styleId="33">
    <w:name w:val="font21"/>
    <w:basedOn w:val="2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4">
    <w:name w:val="font01"/>
    <w:basedOn w:val="22"/>
    <w:qFormat/>
    <w:uiPriority w:val="0"/>
    <w:rPr>
      <w:rFonts w:ascii="Calibri" w:hAnsi="Calibri" w:cs="Calibri"/>
      <w:color w:val="000000"/>
      <w:sz w:val="20"/>
      <w:szCs w:val="20"/>
      <w:u w:val="none"/>
    </w:rPr>
  </w:style>
  <w:style w:type="character" w:customStyle="1" w:styleId="35">
    <w:name w:val="font91"/>
    <w:basedOn w:val="22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36">
    <w:name w:val="font11"/>
    <w:basedOn w:val="2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7">
    <w:name w:val="font41"/>
    <w:basedOn w:val="2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8">
    <w:name w:val="font71"/>
    <w:basedOn w:val="22"/>
    <w:qFormat/>
    <w:uiPriority w:val="0"/>
    <w:rPr>
      <w:rFonts w:ascii="Calibri" w:hAnsi="Calibri" w:cs="Calibri"/>
      <w:color w:val="000000"/>
      <w:sz w:val="20"/>
      <w:szCs w:val="20"/>
      <w:u w:val="none"/>
    </w:rPr>
  </w:style>
  <w:style w:type="paragraph" w:customStyle="1" w:styleId="39">
    <w:name w:val="列表段落1"/>
    <w:basedOn w:val="1"/>
    <w:qFormat/>
    <w:uiPriority w:val="34"/>
    <w:pPr>
      <w:ind w:firstLine="420"/>
    </w:pPr>
  </w:style>
  <w:style w:type="paragraph" w:customStyle="1" w:styleId="40">
    <w:name w:val="*正文"/>
    <w:basedOn w:val="1"/>
    <w:qFormat/>
    <w:uiPriority w:val="0"/>
    <w:pPr>
      <w:widowControl/>
      <w:ind w:firstLine="560"/>
      <w:jc w:val="left"/>
    </w:pPr>
    <w:rPr>
      <w:rFonts w:ascii="仿宋_GB2312" w:hAnsi="宋体" w:cs="Times New Roman"/>
      <w:color w:val="000000"/>
      <w:kern w:val="0"/>
      <w:szCs w:val="28"/>
    </w:rPr>
  </w:style>
  <w:style w:type="paragraph" w:styleId="41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Huawei Technologies Co.,Ltd.</Company>
  <Pages>5</Pages>
  <Words>2470</Words>
  <Characters>2796</Characters>
  <Lines>21</Lines>
  <Paragraphs>6</Paragraphs>
  <TotalTime>87</TotalTime>
  <ScaleCrop>false</ScaleCrop>
  <LinksUpToDate>false</LinksUpToDate>
  <CharactersWithSpaces>2906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2022-04-19T08:31:00Z</dcterms:created>
  <dc:creator>Windows 用户</dc:creator>
  <cp:lastModifiedBy>桂明</cp:lastModifiedBy>
  <dcterms:modified xsi:type="dcterms:W3CDTF">2026-07-08T02:26:33Z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_2015_ms_pID_725343">
    <vt:lpwstr>(2)nHrLJmD9H0mjY+s9tFF4vVsE/djiNCw4cAuuGKwqHVVqxEl3zjDC24gq72MxK1i+JE5cc0WR
rSQNdsKLtgab/dtXkwYuxeAipxmdMrcHcJVmwfb5xQTNru5ES81Sb2GhXe1a4dQRHwDFMlCJ
7w4XWRxYmvYdYZGl5m/F1SNEO7GppjXCRFnDPNSm9Tuy5e0Exqn0Hr3cR0z20FGTFf0INYlY
fNbCm9ELjXHMspWT/4</vt:lpwstr>
  </property>
  <property fmtid="{D5CDD505-2E9C-101B-9397-08002B2CF9AE}" pid="4" name="_2015_ms_pID_7253431">
    <vt:lpwstr>Ma0UnQJ2x7YrDN2EHmhtDRlgTfCfBYzhvb81HkU2ZYAHB4LaYzj7/M
gLwGYTvZJPuMt5LdS8Y5zCcoSSh4XS4b/uPoh3jUBn1pt1/OvmALXfY9b9W8LkkBY9vG/aO9
5uiucvCbCtV7QexpbgyLYkeYgXPH0iT2YmX98byi+2HqekpITPpY29BIpPVUtmREeAaG7Ft8
wn+umQahp2WLt4Ru</vt:lpwstr>
  </property>
  <property fmtid="{D5CDD505-2E9C-101B-9397-08002B2CF9AE}" pid="5" name="ICV">
    <vt:lpwstr>3416542EE74646A98ABFF5542E524D7A_13</vt:lpwstr>
  </property>
  <property fmtid="{D5CDD505-2E9C-101B-9397-08002B2CF9AE}" pid="6" name="KSOTemplateDocerSaveRecord">
    <vt:lpwstr>eyJoZGlkIjoiMzlmMDI2MjJkZTk1YTZmYWVmMjlmYzNmOTZhMmRlZjIiLCJ1c2VySWQiOiIxNjk2OTc0NjU2In0=</vt:lpwstr>
  </property>
</Properties>
</file>