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755230">
      <w:pPr>
        <w:adjustRightInd w:val="0"/>
        <w:snapToGrid w:val="0"/>
        <w:spacing w:line="360" w:lineRule="auto"/>
        <w:jc w:val="center"/>
        <w:outlineLvl w:val="0"/>
        <w:rPr>
          <w:rFonts w:hint="eastAsia" w:ascii="黑体" w:hAnsi="黑体" w:eastAsia="黑体" w:cs="黑体"/>
          <w:sz w:val="32"/>
          <w:szCs w:val="32"/>
        </w:rPr>
      </w:pPr>
      <w:r>
        <w:rPr>
          <w:rFonts w:hint="eastAsia" w:ascii="黑体" w:hAnsi="黑体" w:eastAsia="黑体" w:cs="黑体"/>
          <w:sz w:val="32"/>
          <w:szCs w:val="32"/>
        </w:rPr>
        <w:t>武汉市中心医院</w:t>
      </w:r>
    </w:p>
    <w:p w14:paraId="67FA2461">
      <w:pPr>
        <w:adjustRightInd w:val="0"/>
        <w:snapToGrid w:val="0"/>
        <w:spacing w:line="360" w:lineRule="auto"/>
        <w:jc w:val="center"/>
        <w:outlineLvl w:val="0"/>
        <w:rPr>
          <w:rFonts w:hint="eastAsia" w:ascii="黑体" w:hAnsi="黑体" w:eastAsia="黑体" w:cs="黑体"/>
          <w:b w:val="0"/>
          <w:bCs w:val="0"/>
          <w:color w:val="auto"/>
          <w:sz w:val="32"/>
          <w:szCs w:val="32"/>
          <w:lang w:val="en-US" w:eastAsia="zh-CN"/>
        </w:rPr>
      </w:pPr>
      <w:bookmarkStart w:id="0" w:name="_Hlk229125556"/>
      <w:r>
        <w:rPr>
          <w:rFonts w:hint="eastAsia" w:ascii="黑体" w:hAnsi="黑体" w:eastAsia="黑体" w:cs="黑体"/>
          <w:b w:val="0"/>
          <w:bCs w:val="0"/>
          <w:color w:val="auto"/>
          <w:sz w:val="32"/>
          <w:szCs w:val="32"/>
          <w:lang w:val="en-US" w:eastAsia="zh-CN"/>
        </w:rPr>
        <w:t>2026年信息化项目售后维保（</w:t>
      </w:r>
      <w:r>
        <w:rPr>
          <w:rFonts w:hint="eastAsia" w:ascii="黑体" w:hAnsi="黑体" w:eastAsia="黑体" w:cs="黑体"/>
          <w:sz w:val="32"/>
          <w:szCs w:val="32"/>
          <w:lang w:val="en-US" w:eastAsia="zh-CN"/>
        </w:rPr>
        <w:t>DRG</w:t>
      </w:r>
      <w:r>
        <w:rPr>
          <w:rFonts w:hint="eastAsia" w:ascii="黑体" w:hAnsi="黑体" w:eastAsia="黑体" w:cs="黑体"/>
          <w:sz w:val="32"/>
          <w:szCs w:val="32"/>
        </w:rPr>
        <w:t>智能化综合管理系统</w:t>
      </w:r>
      <w:r>
        <w:rPr>
          <w:rFonts w:hint="eastAsia" w:ascii="黑体" w:hAnsi="黑体" w:eastAsia="黑体" w:cs="黑体"/>
          <w:b w:val="0"/>
          <w:bCs w:val="0"/>
          <w:color w:val="auto"/>
          <w:sz w:val="32"/>
          <w:szCs w:val="32"/>
          <w:lang w:val="en-US" w:eastAsia="zh-CN"/>
        </w:rPr>
        <w:t>）</w:t>
      </w:r>
    </w:p>
    <w:bookmarkEnd w:id="0"/>
    <w:p w14:paraId="087D44C2">
      <w:pPr>
        <w:adjustRightInd w:val="0"/>
        <w:snapToGrid w:val="0"/>
        <w:spacing w:line="360" w:lineRule="auto"/>
        <w:jc w:val="center"/>
        <w:outlineLvl w:val="0"/>
      </w:pPr>
      <w:r>
        <w:rPr>
          <w:rFonts w:hint="eastAsia" w:ascii="黑体" w:hAnsi="黑体" w:eastAsia="黑体" w:cs="黑体"/>
          <w:sz w:val="32"/>
          <w:szCs w:val="32"/>
        </w:rPr>
        <w:t>采购需求</w:t>
      </w:r>
    </w:p>
    <w:p w14:paraId="51602958">
      <w:pPr>
        <w:pStyle w:val="2"/>
        <w:numPr>
          <w:ilvl w:val="0"/>
          <w:numId w:val="1"/>
        </w:numPr>
        <w:snapToGrid w:val="0"/>
        <w:spacing w:before="0" w:after="0" w:line="360" w:lineRule="auto"/>
        <w:jc w:val="left"/>
        <w:rPr>
          <w:rFonts w:hint="eastAsia" w:ascii="仿宋" w:hAnsi="仿宋" w:eastAsia="仿宋" w:cs="Times New Roman"/>
          <w:sz w:val="24"/>
          <w:szCs w:val="24"/>
          <w:lang w:val="zh-CN"/>
        </w:rPr>
      </w:pPr>
      <w:r>
        <w:rPr>
          <w:rFonts w:hint="eastAsia" w:ascii="仿宋" w:hAnsi="仿宋" w:eastAsia="仿宋" w:cs="Times New Roman"/>
          <w:sz w:val="24"/>
          <w:szCs w:val="24"/>
          <w:lang w:val="zh-CN"/>
        </w:rPr>
        <w:t>项目基本情况</w:t>
      </w:r>
    </w:p>
    <w:p w14:paraId="0CD03591">
      <w:pPr>
        <w:adjustRightInd w:val="0"/>
        <w:snapToGrid w:val="0"/>
        <w:spacing w:line="360" w:lineRule="auto"/>
        <w:ind w:firstLine="480" w:firstLineChars="200"/>
        <w:jc w:val="left"/>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rPr>
        <w:t>1.项目名称：</w:t>
      </w:r>
      <w:r>
        <w:rPr>
          <w:rFonts w:hint="eastAsia" w:ascii="仿宋" w:hAnsi="仿宋" w:eastAsia="仿宋" w:cs="宋体"/>
          <w:color w:val="000000"/>
          <w:sz w:val="24"/>
          <w:szCs w:val="24"/>
          <w:lang w:val="en-US" w:eastAsia="zh-CN"/>
        </w:rPr>
        <w:t>2026年信息化项目售后维保（</w:t>
      </w:r>
      <w:r>
        <w:rPr>
          <w:rFonts w:hint="eastAsia" w:ascii="仿宋" w:hAnsi="仿宋" w:eastAsia="仿宋" w:cs="仿宋"/>
          <w:color w:val="000000"/>
          <w:kern w:val="0"/>
          <w:sz w:val="24"/>
          <w:szCs w:val="24"/>
          <w:lang w:bidi="ar"/>
        </w:rPr>
        <w:t>DRG智能化综合管理系统</w:t>
      </w:r>
      <w:r>
        <w:rPr>
          <w:rFonts w:hint="eastAsia" w:ascii="仿宋" w:hAnsi="仿宋" w:eastAsia="仿宋" w:cs="宋体"/>
          <w:color w:val="000000"/>
          <w:sz w:val="24"/>
          <w:szCs w:val="24"/>
          <w:lang w:val="en-US" w:eastAsia="zh-CN"/>
        </w:rPr>
        <w:t>）</w:t>
      </w:r>
    </w:p>
    <w:p w14:paraId="3D2377D7">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rPr>
        <w:t>2.项目预算：</w:t>
      </w:r>
      <w:r>
        <w:rPr>
          <w:rFonts w:hint="eastAsia" w:ascii="仿宋" w:hAnsi="仿宋" w:eastAsia="仿宋" w:cs="宋体"/>
          <w:color w:val="000000"/>
          <w:sz w:val="24"/>
          <w:szCs w:val="24"/>
          <w:lang w:val="en-US" w:eastAsia="zh-CN"/>
        </w:rPr>
        <w:t>4.4</w:t>
      </w:r>
      <w:r>
        <w:rPr>
          <w:rFonts w:hint="eastAsia" w:ascii="仿宋" w:hAnsi="仿宋" w:eastAsia="仿宋" w:cs="宋体"/>
          <w:color w:val="000000"/>
          <w:sz w:val="24"/>
          <w:szCs w:val="24"/>
        </w:rPr>
        <w:t>万元</w:t>
      </w:r>
    </w:p>
    <w:p w14:paraId="029F9181">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rPr>
        <w:t>3.合同履行期限：自合同签订之日起一年</w:t>
      </w:r>
    </w:p>
    <w:p w14:paraId="1BC98964">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rPr>
        <w:t>4.本项目（是/否）接受联合体投标：否</w:t>
      </w:r>
    </w:p>
    <w:p w14:paraId="7106EAC7">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仿宋"/>
          <w:sz w:val="24"/>
          <w:szCs w:val="24"/>
        </w:rPr>
        <w:t>5.本项目（是/否）接受分包：否</w:t>
      </w:r>
    </w:p>
    <w:p w14:paraId="01FF8FE2">
      <w:pPr>
        <w:pStyle w:val="2"/>
        <w:numPr>
          <w:ilvl w:val="0"/>
          <w:numId w:val="1"/>
        </w:numPr>
        <w:snapToGrid w:val="0"/>
        <w:spacing w:before="0" w:after="0" w:line="360" w:lineRule="auto"/>
        <w:jc w:val="left"/>
        <w:rPr>
          <w:rFonts w:hint="eastAsia" w:ascii="仿宋" w:hAnsi="仿宋" w:eastAsia="仿宋" w:cs="Times New Roman"/>
          <w:color w:val="0000FF"/>
          <w:sz w:val="24"/>
          <w:szCs w:val="24"/>
          <w:lang w:val="zh-CN"/>
        </w:rPr>
      </w:pPr>
      <w:r>
        <w:rPr>
          <w:rFonts w:hint="eastAsia" w:ascii="仿宋" w:hAnsi="仿宋" w:eastAsia="仿宋" w:cs="Times New Roman"/>
          <w:sz w:val="24"/>
          <w:szCs w:val="24"/>
          <w:lang w:val="zh-CN"/>
        </w:rPr>
        <w:t>国家相关行政主管部门颁布的强制标准、规范</w:t>
      </w:r>
    </w:p>
    <w:p w14:paraId="611B27ED">
      <w:pPr>
        <w:adjustRightInd w:val="0"/>
        <w:snapToGrid w:val="0"/>
        <w:spacing w:line="360" w:lineRule="auto"/>
        <w:ind w:firstLine="480" w:firstLineChars="200"/>
        <w:jc w:val="left"/>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《武汉市卫生健康信息化项目管理办法（</w:t>
      </w:r>
      <w:r>
        <w:rPr>
          <w:rFonts w:hint="eastAsia" w:ascii="仿宋" w:hAnsi="仿宋" w:eastAsia="仿宋" w:cs="宋体"/>
          <w:color w:val="000000"/>
          <w:sz w:val="24"/>
          <w:szCs w:val="24"/>
        </w:rPr>
        <w:t>试行</w:t>
      </w:r>
      <w:r>
        <w:rPr>
          <w:rFonts w:hint="eastAsia" w:ascii="仿宋" w:hAnsi="仿宋" w:eastAsia="仿宋" w:cs="宋体"/>
          <w:color w:val="000000"/>
          <w:sz w:val="24"/>
          <w:szCs w:val="24"/>
          <w:lang w:val="zh-CN"/>
        </w:rPr>
        <w:t>）》（武卫</w:t>
      </w:r>
      <w:r>
        <w:rPr>
          <w:rFonts w:hint="eastAsia" w:ascii="仿宋" w:hAnsi="仿宋" w:eastAsia="仿宋" w:cs="宋体"/>
          <w:color w:val="000000"/>
          <w:sz w:val="24"/>
          <w:szCs w:val="24"/>
        </w:rPr>
        <w:t>通</w:t>
      </w:r>
      <w:r>
        <w:rPr>
          <w:rFonts w:hint="eastAsia" w:ascii="仿宋" w:hAnsi="仿宋" w:eastAsia="仿宋" w:cs="宋体"/>
          <w:color w:val="000000"/>
          <w:sz w:val="24"/>
          <w:szCs w:val="24"/>
          <w:lang w:val="zh-CN"/>
        </w:rPr>
        <w:t>〔20</w:t>
      </w:r>
      <w:r>
        <w:rPr>
          <w:rFonts w:hint="eastAsia" w:ascii="仿宋" w:hAnsi="仿宋" w:eastAsia="仿宋" w:cs="宋体"/>
          <w:color w:val="000000"/>
          <w:sz w:val="24"/>
          <w:szCs w:val="24"/>
        </w:rPr>
        <w:t>22</w:t>
      </w:r>
      <w:r>
        <w:rPr>
          <w:rFonts w:hint="eastAsia" w:ascii="仿宋" w:hAnsi="仿宋" w:eastAsia="仿宋" w:cs="宋体"/>
          <w:color w:val="000000"/>
          <w:sz w:val="24"/>
          <w:szCs w:val="24"/>
          <w:lang w:val="zh-CN"/>
        </w:rPr>
        <w:t>〕1</w:t>
      </w:r>
      <w:r>
        <w:rPr>
          <w:rFonts w:hint="eastAsia" w:ascii="仿宋" w:hAnsi="仿宋" w:eastAsia="仿宋" w:cs="宋体"/>
          <w:color w:val="000000"/>
          <w:sz w:val="24"/>
          <w:szCs w:val="24"/>
        </w:rPr>
        <w:t>8</w:t>
      </w:r>
      <w:r>
        <w:rPr>
          <w:rFonts w:hint="eastAsia" w:ascii="仿宋" w:hAnsi="仿宋" w:eastAsia="仿宋" w:cs="宋体"/>
          <w:color w:val="000000"/>
          <w:sz w:val="24"/>
          <w:szCs w:val="24"/>
          <w:lang w:val="zh-CN"/>
        </w:rPr>
        <w:t>号）</w:t>
      </w:r>
    </w:p>
    <w:p w14:paraId="1542836B">
      <w:pPr>
        <w:pStyle w:val="2"/>
        <w:numPr>
          <w:ilvl w:val="0"/>
          <w:numId w:val="1"/>
        </w:numPr>
        <w:snapToGrid w:val="0"/>
        <w:spacing w:before="0" w:after="0" w:line="360" w:lineRule="auto"/>
        <w:jc w:val="left"/>
        <w:rPr>
          <w:rFonts w:hint="eastAsia" w:ascii="仿宋" w:hAnsi="仿宋" w:eastAsia="仿宋" w:cs="Times New Roman"/>
          <w:sz w:val="24"/>
          <w:szCs w:val="24"/>
          <w:lang w:val="zh-CN"/>
        </w:rPr>
      </w:pPr>
      <w:r>
        <w:rPr>
          <w:rFonts w:hint="eastAsia" w:ascii="仿宋" w:hAnsi="仿宋" w:eastAsia="仿宋" w:cs="Times New Roman"/>
          <w:sz w:val="24"/>
          <w:szCs w:val="24"/>
          <w:lang w:val="zh-CN"/>
        </w:rPr>
        <w:t>项目需求及技术要求</w:t>
      </w:r>
    </w:p>
    <w:p w14:paraId="1363A17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武汉市中心医院始建于1880年，已有140余年悠久历史，是一所融医疗、科研、教学、预防、培训为一体的大型现代化三级甲等医院。医院现有南京路院区、后湖院区、杨春湖院区（洪山区人民医院），编制床位3700张，为武汉市心血管病医院。现有职工5020余人，中高级职称2600余人，博士、硕士1500余人。享受国务院政府特殊津贴专家 10人，省、市各级专项津贴专家15人，一大批专家在各专业学会担任要职。国家临床重点专科能力建设项目2个，省级临床重点专科42个，市级临床重点专科48个。</w:t>
      </w:r>
    </w:p>
    <w:p w14:paraId="39861373">
      <w:pPr>
        <w:pStyle w:val="3"/>
        <w:numPr>
          <w:ilvl w:val="0"/>
          <w:numId w:val="2"/>
        </w:numPr>
        <w:snapToGrid w:val="0"/>
        <w:spacing w:before="0" w:after="0" w:line="360" w:lineRule="auto"/>
        <w:ind w:firstLine="638" w:firstLineChars="0"/>
        <w:jc w:val="left"/>
        <w:rPr>
          <w:rFonts w:hint="eastAsia" w:ascii="仿宋" w:hAnsi="仿宋" w:eastAsia="仿宋" w:cs="仿宋"/>
          <w:sz w:val="24"/>
          <w:szCs w:val="24"/>
          <w:lang w:val="zh-CN"/>
        </w:rPr>
      </w:pPr>
      <w:r>
        <w:rPr>
          <w:rFonts w:hint="eastAsia" w:ascii="仿宋" w:hAnsi="仿宋" w:eastAsia="仿宋" w:cs="仿宋"/>
          <w:sz w:val="24"/>
          <w:szCs w:val="24"/>
          <w:lang w:val="zh-CN"/>
        </w:rPr>
        <w:t>项目目标</w:t>
      </w:r>
    </w:p>
    <w:p w14:paraId="69CCBE89">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本次项目为</w:t>
      </w:r>
      <w:r>
        <w:rPr>
          <w:rFonts w:hint="eastAsia" w:ascii="仿宋" w:hAnsi="仿宋" w:eastAsia="仿宋" w:cs="仿宋"/>
          <w:color w:val="000000"/>
          <w:kern w:val="0"/>
          <w:sz w:val="24"/>
          <w:szCs w:val="24"/>
          <w:lang w:bidi="ar"/>
        </w:rPr>
        <w:t>DRG智能化综合管理系统项目</w:t>
      </w:r>
      <w:r>
        <w:rPr>
          <w:rFonts w:hint="eastAsia" w:ascii="仿宋" w:hAnsi="仿宋" w:eastAsia="仿宋" w:cs="仿宋"/>
          <w:sz w:val="24"/>
          <w:szCs w:val="24"/>
        </w:rPr>
        <w:t>提供一年</w:t>
      </w:r>
      <w:r>
        <w:rPr>
          <w:rFonts w:hint="eastAsia" w:ascii="仿宋" w:hAnsi="仿宋" w:eastAsia="仿宋" w:cs="仿宋"/>
          <w:sz w:val="24"/>
          <w:szCs w:val="24"/>
          <w:lang w:val="zh-CN"/>
        </w:rPr>
        <w:t>售后维保服务。</w:t>
      </w:r>
    </w:p>
    <w:p w14:paraId="1E56EFAA">
      <w:pPr>
        <w:spacing w:line="360" w:lineRule="auto"/>
        <w:rPr>
          <w:lang w:val="zh-CN"/>
        </w:rPr>
      </w:pPr>
      <w:r>
        <w:rPr>
          <w:rFonts w:hint="eastAsia" w:ascii="仿宋" w:hAnsi="仿宋" w:eastAsia="仿宋" w:cs="仿宋"/>
          <w:sz w:val="24"/>
          <w:szCs w:val="24"/>
          <w:lang w:val="zh-CN"/>
        </w:rPr>
        <w:br w:type="page"/>
      </w:r>
    </w:p>
    <w:p w14:paraId="46317C0C">
      <w:pPr>
        <w:numPr>
          <w:ilvl w:val="0"/>
          <w:numId w:val="2"/>
        </w:numPr>
        <w:spacing w:line="360" w:lineRule="auto"/>
        <w:ind w:firstLine="641"/>
        <w:outlineLvl w:val="2"/>
        <w:rPr>
          <w:rFonts w:hint="eastAsia" w:ascii="仿宋" w:hAnsi="仿宋" w:eastAsia="仿宋" w:cs="仿宋"/>
          <w:b/>
          <w:sz w:val="24"/>
          <w:szCs w:val="24"/>
          <w:lang w:val="zh-CN"/>
        </w:rPr>
      </w:pPr>
      <w:r>
        <w:rPr>
          <w:rFonts w:hint="eastAsia" w:ascii="仿宋" w:hAnsi="仿宋" w:eastAsia="仿宋" w:cs="仿宋"/>
          <w:b/>
          <w:sz w:val="24"/>
          <w:szCs w:val="24"/>
        </w:rPr>
        <w:t>维保项目</w:t>
      </w:r>
      <w:r>
        <w:rPr>
          <w:rFonts w:hint="eastAsia" w:ascii="仿宋" w:hAnsi="仿宋" w:eastAsia="仿宋" w:cs="仿宋"/>
          <w:b/>
          <w:sz w:val="24"/>
          <w:szCs w:val="24"/>
          <w:lang w:val="zh-CN"/>
        </w:rPr>
        <w:t>清单</w:t>
      </w:r>
    </w:p>
    <w:p w14:paraId="09961C21">
      <w:pPr>
        <w:spacing w:line="360" w:lineRule="auto"/>
        <w:ind w:left="559" w:leftChars="266"/>
        <w:rPr>
          <w:rFonts w:hint="eastAsia" w:ascii="仿宋" w:hAnsi="仿宋" w:eastAsia="仿宋" w:cs="Times New Roman"/>
          <w:b/>
          <w:color w:val="0000FF"/>
          <w:sz w:val="24"/>
          <w:szCs w:val="24"/>
          <w:lang w:val="zh-CN"/>
        </w:rPr>
      </w:pPr>
    </w:p>
    <w:tbl>
      <w:tblPr>
        <w:tblStyle w:val="10"/>
        <w:tblW w:w="0" w:type="auto"/>
        <w:tblInd w:w="93" w:type="dxa"/>
        <w:tblLayout w:type="fixed"/>
        <w:tblCellMar>
          <w:top w:w="0" w:type="dxa"/>
          <w:left w:w="108" w:type="dxa"/>
          <w:bottom w:w="0" w:type="dxa"/>
          <w:right w:w="108" w:type="dxa"/>
        </w:tblCellMar>
      </w:tblPr>
      <w:tblGrid>
        <w:gridCol w:w="658"/>
        <w:gridCol w:w="1531"/>
        <w:gridCol w:w="4482"/>
        <w:gridCol w:w="1758"/>
      </w:tblGrid>
      <w:tr w14:paraId="6D78BD0F">
        <w:tblPrEx>
          <w:tblCellMar>
            <w:top w:w="0" w:type="dxa"/>
            <w:left w:w="108" w:type="dxa"/>
            <w:bottom w:w="0" w:type="dxa"/>
            <w:right w:w="108" w:type="dxa"/>
          </w:tblCellMar>
        </w:tblPrEx>
        <w:trPr>
          <w:trHeight w:val="285" w:hRule="atLeast"/>
        </w:trPr>
        <w:tc>
          <w:tcPr>
            <w:tcW w:w="65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0707917">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序号</w:t>
            </w:r>
          </w:p>
        </w:tc>
        <w:tc>
          <w:tcPr>
            <w:tcW w:w="153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5736CE3">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采购内容</w:t>
            </w:r>
          </w:p>
        </w:tc>
        <w:tc>
          <w:tcPr>
            <w:tcW w:w="448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FF7DE8F">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运维主要功能范围</w:t>
            </w:r>
          </w:p>
        </w:tc>
        <w:tc>
          <w:tcPr>
            <w:tcW w:w="175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925BE53">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服务期</w:t>
            </w:r>
          </w:p>
        </w:tc>
      </w:tr>
      <w:tr w14:paraId="12A3A39C">
        <w:tblPrEx>
          <w:tblCellMar>
            <w:top w:w="0" w:type="dxa"/>
            <w:left w:w="108" w:type="dxa"/>
            <w:bottom w:w="0" w:type="dxa"/>
            <w:right w:w="108" w:type="dxa"/>
          </w:tblCellMar>
        </w:tblPrEx>
        <w:trPr>
          <w:trHeight w:val="765" w:hRule="atLeast"/>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458B87F3">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6E481571">
            <w:pPr>
              <w:widowControl/>
              <w:jc w:val="center"/>
              <w:textAlignment w:val="center"/>
              <w:rPr>
                <w:rFonts w:hint="eastAsia" w:ascii="仿宋" w:hAnsi="仿宋" w:eastAsia="仿宋" w:cs="仿宋"/>
                <w:color w:val="000000"/>
                <w:sz w:val="24"/>
                <w:szCs w:val="24"/>
              </w:rPr>
            </w:pPr>
            <w:r>
              <w:rPr>
                <w:rFonts w:hint="eastAsia" w:ascii="仿宋" w:hAnsi="仿宋" w:eastAsia="仿宋" w:cs="宋体"/>
                <w:color w:val="000000"/>
                <w:sz w:val="24"/>
                <w:szCs w:val="24"/>
              </w:rPr>
              <w:t>DRG智能化综合管理系统采购项目</w:t>
            </w:r>
            <w:r>
              <w:rPr>
                <w:rFonts w:hint="eastAsia" w:ascii="仿宋" w:hAnsi="仿宋" w:eastAsia="仿宋" w:cs="宋体"/>
                <w:color w:val="000000"/>
                <w:sz w:val="24"/>
                <w:szCs w:val="24"/>
                <w:lang w:val="en-US" w:eastAsia="zh-CN"/>
              </w:rPr>
              <w:t>维保</w:t>
            </w:r>
          </w:p>
        </w:tc>
        <w:tc>
          <w:tcPr>
            <w:tcW w:w="4482" w:type="dxa"/>
            <w:tcBorders>
              <w:top w:val="single" w:color="auto" w:sz="4" w:space="0"/>
              <w:left w:val="single" w:color="auto" w:sz="4" w:space="0"/>
              <w:bottom w:val="single" w:color="auto" w:sz="4" w:space="0"/>
              <w:right w:val="single" w:color="auto" w:sz="4" w:space="0"/>
            </w:tcBorders>
            <w:shd w:val="clear" w:color="auto" w:fill="auto"/>
            <w:vAlign w:val="center"/>
          </w:tcPr>
          <w:p w14:paraId="509D1A04">
            <w:pPr>
              <w:widowControl/>
              <w:jc w:val="left"/>
              <w:textAlignment w:val="center"/>
              <w:rPr>
                <w:rFonts w:hint="eastAsia" w:ascii="仿宋" w:hAnsi="仿宋" w:eastAsia="仿宋" w:cs="仿宋"/>
                <w:color w:val="000000"/>
                <w:sz w:val="24"/>
                <w:szCs w:val="24"/>
                <w:lang w:val="en-US" w:eastAsia="zh-CN"/>
              </w:rPr>
            </w:pPr>
            <w:r>
              <w:rPr>
                <w:rFonts w:hint="eastAsia" w:ascii="仿宋" w:hAnsi="仿宋" w:eastAsia="仿宋" w:cs="宋体"/>
                <w:color w:val="000000"/>
                <w:sz w:val="24"/>
                <w:szCs w:val="24"/>
              </w:rPr>
              <w:t>DRG智能化综合管理系统</w:t>
            </w:r>
            <w:r>
              <w:rPr>
                <w:rFonts w:hint="eastAsia" w:ascii="仿宋" w:hAnsi="仿宋" w:eastAsia="仿宋" w:cs="仿宋"/>
                <w:sz w:val="24"/>
                <w:szCs w:val="24"/>
                <w:lang w:val="zh-CN"/>
              </w:rPr>
              <w:t>7×24小时</w:t>
            </w:r>
            <w:r>
              <w:rPr>
                <w:rFonts w:hint="eastAsia" w:ascii="仿宋" w:hAnsi="仿宋" w:eastAsia="仿宋" w:cs="仿宋"/>
                <w:sz w:val="24"/>
                <w:szCs w:val="24"/>
                <w:lang w:val="en-US" w:eastAsia="zh-CN"/>
              </w:rPr>
              <w:t>系统维护、</w:t>
            </w:r>
            <w:r>
              <w:rPr>
                <w:rFonts w:hint="eastAsia" w:ascii="仿宋" w:hAnsi="仿宋" w:eastAsia="仿宋" w:cs="仿宋"/>
                <w:sz w:val="24"/>
                <w:szCs w:val="24"/>
                <w:lang w:val="zh-CN"/>
              </w:rPr>
              <w:t>咨询、</w:t>
            </w:r>
            <w:r>
              <w:rPr>
                <w:rFonts w:hint="eastAsia" w:ascii="仿宋" w:hAnsi="仿宋" w:eastAsia="仿宋" w:cs="仿宋"/>
                <w:sz w:val="24"/>
                <w:szCs w:val="24"/>
                <w:lang w:val="en-US" w:eastAsia="zh-CN"/>
              </w:rPr>
              <w:t>培训</w:t>
            </w:r>
            <w:r>
              <w:rPr>
                <w:rFonts w:hint="eastAsia" w:ascii="仿宋" w:hAnsi="仿宋" w:eastAsia="仿宋" w:cs="仿宋"/>
                <w:sz w:val="24"/>
                <w:szCs w:val="24"/>
                <w:lang w:val="zh-CN"/>
              </w:rPr>
              <w:t>服务，</w:t>
            </w:r>
            <w:r>
              <w:rPr>
                <w:rFonts w:hint="eastAsia" w:ascii="仿宋" w:hAnsi="仿宋" w:eastAsia="仿宋" w:cs="仿宋"/>
                <w:i w:val="0"/>
                <w:iCs w:val="0"/>
                <w:color w:val="000000"/>
                <w:kern w:val="0"/>
                <w:sz w:val="24"/>
                <w:szCs w:val="24"/>
                <w:u w:val="none"/>
                <w:lang w:val="en-US" w:eastAsia="zh-CN" w:bidi="ar"/>
              </w:rPr>
              <w:t>系统巡检、系统调优、系统升级</w:t>
            </w:r>
            <w:r>
              <w:rPr>
                <w:rFonts w:hint="eastAsia" w:ascii="仿宋" w:hAnsi="仿宋" w:eastAsia="仿宋" w:cs="仿宋"/>
                <w:sz w:val="24"/>
                <w:szCs w:val="24"/>
                <w:lang w:val="en-US" w:eastAsia="zh-CN"/>
              </w:rPr>
              <w:t>等</w:t>
            </w:r>
          </w:p>
        </w:tc>
        <w:tc>
          <w:tcPr>
            <w:tcW w:w="1758" w:type="dxa"/>
            <w:tcBorders>
              <w:top w:val="single" w:color="auto" w:sz="4" w:space="0"/>
              <w:left w:val="single" w:color="auto" w:sz="4" w:space="0"/>
              <w:bottom w:val="single" w:color="auto" w:sz="4" w:space="0"/>
              <w:right w:val="single" w:color="auto" w:sz="4" w:space="0"/>
            </w:tcBorders>
            <w:shd w:val="clear" w:color="auto" w:fill="auto"/>
            <w:vAlign w:val="center"/>
          </w:tcPr>
          <w:p w14:paraId="7812967F">
            <w:pPr>
              <w:widowControl/>
              <w:jc w:val="center"/>
              <w:textAlignment w:val="center"/>
              <w:rPr>
                <w:rFonts w:hint="eastAsia" w:ascii="仿宋" w:hAnsi="仿宋" w:eastAsia="仿宋" w:cs="仿宋"/>
                <w:color w:val="000000"/>
                <w:sz w:val="24"/>
                <w:szCs w:val="24"/>
              </w:rPr>
            </w:pPr>
            <w:r>
              <w:rPr>
                <w:rFonts w:hint="eastAsia" w:ascii="仿宋" w:hAnsi="仿宋" w:eastAsia="仿宋" w:cs="宋体"/>
                <w:color w:val="000000"/>
                <w:sz w:val="24"/>
                <w:szCs w:val="24"/>
              </w:rPr>
              <w:t>自合同签订之日起一年</w:t>
            </w:r>
          </w:p>
        </w:tc>
      </w:tr>
    </w:tbl>
    <w:p w14:paraId="3FB45F23">
      <w:pPr>
        <w:spacing w:line="360" w:lineRule="auto"/>
        <w:ind w:left="559" w:leftChars="266"/>
        <w:rPr>
          <w:rFonts w:hint="eastAsia" w:ascii="仿宋" w:hAnsi="仿宋" w:eastAsia="仿宋" w:cs="Times New Roman"/>
          <w:b/>
          <w:color w:val="0000FF"/>
          <w:sz w:val="24"/>
          <w:szCs w:val="24"/>
          <w:lang w:val="zh-CN"/>
        </w:rPr>
      </w:pPr>
    </w:p>
    <w:p w14:paraId="1F66D930">
      <w:pPr>
        <w:pStyle w:val="3"/>
        <w:numPr>
          <w:ilvl w:val="0"/>
          <w:numId w:val="2"/>
        </w:numPr>
        <w:snapToGrid w:val="0"/>
        <w:spacing w:before="0" w:after="0" w:line="360" w:lineRule="auto"/>
        <w:ind w:firstLine="641" w:firstLineChars="0"/>
        <w:jc w:val="left"/>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项目需求</w:t>
      </w:r>
    </w:p>
    <w:p w14:paraId="288E35F8">
      <w:pPr>
        <w:pStyle w:val="6"/>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lang w:val="zh-CN"/>
        </w:rPr>
        <w:t>1. 总体原则</w:t>
      </w:r>
    </w:p>
    <w:p w14:paraId="4C5C9AAF">
      <w:pPr>
        <w:pStyle w:val="6"/>
        <w:numPr>
          <w:ilvl w:val="0"/>
          <w:numId w:val="3"/>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软件稳定</w:t>
      </w:r>
      <w:r>
        <w:rPr>
          <w:rFonts w:hint="eastAsia" w:ascii="仿宋" w:hAnsi="仿宋" w:eastAsia="仿宋" w:cs="仿宋"/>
          <w:sz w:val="24"/>
          <w:szCs w:val="24"/>
        </w:rPr>
        <w:t>性</w:t>
      </w:r>
      <w:r>
        <w:rPr>
          <w:rFonts w:hint="eastAsia" w:ascii="仿宋" w:hAnsi="仿宋" w:eastAsia="仿宋" w:cs="仿宋"/>
          <w:sz w:val="24"/>
          <w:szCs w:val="24"/>
          <w:lang w:val="zh-CN"/>
        </w:rPr>
        <w:t>：确保在长时间运行中不出现崩溃、数据丢失等问题，以保障患者安全。</w:t>
      </w:r>
    </w:p>
    <w:p w14:paraId="367269C1">
      <w:pPr>
        <w:pStyle w:val="6"/>
        <w:numPr>
          <w:ilvl w:val="0"/>
          <w:numId w:val="3"/>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安全性保障：确保软件系统的安全性，防止数据泄露、非法访问等安全问题。</w:t>
      </w:r>
    </w:p>
    <w:p w14:paraId="6A39EFD5">
      <w:pPr>
        <w:pStyle w:val="6"/>
        <w:numPr>
          <w:ilvl w:val="0"/>
          <w:numId w:val="3"/>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可维护性提升：通过重构优化软件结构，降低维护成本，提高维护效率。</w:t>
      </w:r>
    </w:p>
    <w:p w14:paraId="6FB2B700">
      <w:pPr>
        <w:pStyle w:val="6"/>
        <w:numPr>
          <w:ilvl w:val="0"/>
          <w:numId w:val="3"/>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可扩展性增强：为未来的功能扩展和升级预留空间，满足医疗行业不断发展的需求。</w:t>
      </w:r>
    </w:p>
    <w:p w14:paraId="24BF763A">
      <w:pPr>
        <w:pStyle w:val="6"/>
        <w:numPr>
          <w:ilvl w:val="0"/>
          <w:numId w:val="3"/>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数据保密性：采用加密技术保护关键数据，防止非授权人员获取数据，确保数据传输过程的安全性。</w:t>
      </w:r>
    </w:p>
    <w:p w14:paraId="4715A29C">
      <w:pPr>
        <w:pStyle w:val="6"/>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rPr>
        <w:t>2.</w:t>
      </w:r>
      <w:r>
        <w:rPr>
          <w:rFonts w:hint="eastAsia" w:ascii="仿宋" w:hAnsi="仿宋" w:eastAsia="仿宋" w:cs="仿宋"/>
          <w:b/>
          <w:bCs/>
          <w:sz w:val="24"/>
          <w:szCs w:val="24"/>
          <w:lang w:val="zh-CN"/>
        </w:rPr>
        <w:t>总体要求</w:t>
      </w:r>
    </w:p>
    <w:p w14:paraId="4228DE82">
      <w:pPr>
        <w:pStyle w:val="6"/>
        <w:numPr>
          <w:ilvl w:val="0"/>
          <w:numId w:val="4"/>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提供</w:t>
      </w:r>
      <w:r>
        <w:rPr>
          <w:rFonts w:hint="eastAsia" w:ascii="仿宋" w:hAnsi="仿宋" w:eastAsia="仿宋" w:cs="仿宋"/>
          <w:sz w:val="24"/>
          <w:szCs w:val="24"/>
        </w:rPr>
        <w:t>软件</w:t>
      </w:r>
      <w:r>
        <w:rPr>
          <w:rFonts w:hint="eastAsia" w:ascii="仿宋" w:hAnsi="仿宋" w:eastAsia="仿宋" w:cs="仿宋"/>
          <w:sz w:val="24"/>
          <w:szCs w:val="24"/>
          <w:lang w:val="zh-CN"/>
        </w:rPr>
        <w:t>系统的技术支持服务，</w:t>
      </w:r>
      <w:r>
        <w:rPr>
          <w:rFonts w:hint="eastAsia" w:ascii="仿宋" w:hAnsi="仿宋" w:eastAsia="仿宋" w:cs="仿宋"/>
          <w:sz w:val="24"/>
          <w:szCs w:val="24"/>
        </w:rPr>
        <w:t>配合采购人新老系统的切换工作，</w:t>
      </w:r>
      <w:r>
        <w:rPr>
          <w:rFonts w:hint="eastAsia" w:ascii="仿宋" w:hAnsi="仿宋" w:eastAsia="仿宋" w:cs="Times New Roman"/>
          <w:sz w:val="24"/>
          <w:szCs w:val="24"/>
        </w:rPr>
        <w:t>中标方须保证系统切换期间，新老系统并行稳定并保障数据同步</w:t>
      </w:r>
      <w:r>
        <w:rPr>
          <w:rFonts w:hint="eastAsia" w:ascii="仿宋" w:hAnsi="仿宋" w:eastAsia="仿宋" w:cs="仿宋"/>
          <w:sz w:val="24"/>
          <w:szCs w:val="24"/>
          <w:lang w:val="zh-CN"/>
        </w:rPr>
        <w:t>。</w:t>
      </w:r>
    </w:p>
    <w:p w14:paraId="22688F84">
      <w:pPr>
        <w:pStyle w:val="6"/>
        <w:numPr>
          <w:ilvl w:val="0"/>
          <w:numId w:val="4"/>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提供7×24小时咨询服务，包括：日常的电话/传真/电子邮件技术服务、问题解答。</w:t>
      </w:r>
    </w:p>
    <w:p w14:paraId="3CA107DF">
      <w:pPr>
        <w:pStyle w:val="6"/>
        <w:numPr>
          <w:ilvl w:val="0"/>
          <w:numId w:val="4"/>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提供</w:t>
      </w:r>
      <w:r>
        <w:rPr>
          <w:rFonts w:hint="eastAsia" w:ascii="仿宋" w:hAnsi="仿宋" w:eastAsia="仿宋" w:cs="仿宋"/>
          <w:sz w:val="24"/>
          <w:szCs w:val="24"/>
        </w:rPr>
        <w:t>运维</w:t>
      </w:r>
      <w:r>
        <w:rPr>
          <w:rFonts w:hint="eastAsia" w:ascii="仿宋" w:hAnsi="仿宋" w:eastAsia="仿宋" w:cs="仿宋"/>
          <w:sz w:val="24"/>
          <w:szCs w:val="24"/>
          <w:lang w:val="zh-CN"/>
        </w:rPr>
        <w:t>系统软件故障上门解决、排除服务。服务响应时间：1小时内响应，紧急情况下2小时内安排技术工程师上门服务，</w:t>
      </w:r>
      <w:r>
        <w:rPr>
          <w:rFonts w:hint="eastAsia" w:ascii="仿宋" w:hAnsi="仿宋" w:eastAsia="仿宋" w:cs="仿宋"/>
          <w:sz w:val="24"/>
          <w:szCs w:val="24"/>
        </w:rPr>
        <w:t>4小时内解决问题，不再产生费用</w:t>
      </w:r>
      <w:r>
        <w:rPr>
          <w:rFonts w:hint="eastAsia" w:ascii="仿宋" w:hAnsi="仿宋" w:eastAsia="仿宋" w:cs="仿宋"/>
          <w:sz w:val="24"/>
          <w:szCs w:val="24"/>
          <w:lang w:val="zh-CN"/>
        </w:rPr>
        <w:t>。</w:t>
      </w:r>
    </w:p>
    <w:p w14:paraId="1EBA7831">
      <w:pPr>
        <w:pStyle w:val="6"/>
        <w:numPr>
          <w:ilvl w:val="0"/>
          <w:numId w:val="4"/>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数据备份与恢复：定期备份系统数据，并进行数据恢复测试，确保数据的完整性和可用性，防止数据丢失或损坏。</w:t>
      </w:r>
    </w:p>
    <w:p w14:paraId="3E8E02FF">
      <w:pPr>
        <w:pStyle w:val="6"/>
        <w:numPr>
          <w:ilvl w:val="0"/>
          <w:numId w:val="4"/>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在应用系统出现初期故障征兆时，即能及时解决问题，最大限度保证系统正常高效运行。每次服务结束后需提供一式两份的书面的巡检单或维护单并请使用科室和信息中心负责人签字确认，由医院信息部门负责对维保项目进行质量考核。</w:t>
      </w:r>
    </w:p>
    <w:p w14:paraId="5808A62D">
      <w:pPr>
        <w:pStyle w:val="6"/>
        <w:numPr>
          <w:ilvl w:val="0"/>
          <w:numId w:val="4"/>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根据需要随时为医院相关人员提供产品功能和使用培训，确保工作人员熟练掌握系统软件的应用及基本的运维知识。</w:t>
      </w:r>
    </w:p>
    <w:p w14:paraId="47C7D39F">
      <w:pPr>
        <w:pStyle w:val="6"/>
        <w:numPr>
          <w:ilvl w:val="0"/>
          <w:numId w:val="4"/>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需定期对院方现有系统进行分析，并及时针对院方系统使用科室的实际工作需求提供系统优化扩展方案。</w:t>
      </w:r>
    </w:p>
    <w:p w14:paraId="6C3FC48C">
      <w:pPr>
        <w:pStyle w:val="6"/>
        <w:numPr>
          <w:ilvl w:val="0"/>
          <w:numId w:val="4"/>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需遵守医院的信息安全规定，对医院的网络、主机、系统软件、应用软件等的密码、核心参数、业务数据等负有保密责任，未经医院书面同意不得随意复制和传播。</w:t>
      </w:r>
    </w:p>
    <w:p w14:paraId="32D66CFE">
      <w:pPr>
        <w:pStyle w:val="6"/>
        <w:numPr>
          <w:ilvl w:val="0"/>
          <w:numId w:val="4"/>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及时响应院方的重大维护保障需求，对于医院机房、网络、服务器调整或搬迁等重大维护配合要求，医院将提前5个工作日书面通知公司，公司需安排技术人员按时提供协助配合。</w:t>
      </w:r>
    </w:p>
    <w:p w14:paraId="442CC81B">
      <w:pPr>
        <w:pStyle w:val="6"/>
        <w:numPr>
          <w:ilvl w:val="0"/>
          <w:numId w:val="4"/>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用户培训和支持：定期开展系统使用培训和技术支持工作，提供解决方案和在线支持，帮助用户更好地使用系统。</w:t>
      </w:r>
    </w:p>
    <w:p w14:paraId="6163541B">
      <w:pPr>
        <w:pStyle w:val="6"/>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rPr>
        <w:t>3</w:t>
      </w:r>
      <w:r>
        <w:rPr>
          <w:rFonts w:hint="eastAsia" w:ascii="仿宋" w:hAnsi="仿宋" w:eastAsia="仿宋" w:cs="仿宋"/>
          <w:b/>
          <w:bCs/>
          <w:sz w:val="24"/>
          <w:szCs w:val="24"/>
          <w:lang w:val="zh-CN"/>
        </w:rPr>
        <w:t>. 用户支持</w:t>
      </w:r>
    </w:p>
    <w:p w14:paraId="3C8770CD">
      <w:pPr>
        <w:pStyle w:val="6"/>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提供培训：为医疗工作人员提供软件使用培训和技术支持，确保他们能够充分利用软件系统的功能。</w:t>
      </w:r>
    </w:p>
    <w:p w14:paraId="24F8C7A6">
      <w:pPr>
        <w:pStyle w:val="6"/>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收集反馈：定期收集用户对软件系统的使用反馈，了解用户需求和痛点，为后续的功能优化和升级提供依据。</w:t>
      </w:r>
    </w:p>
    <w:p w14:paraId="03CADCCA">
      <w:pPr>
        <w:pStyle w:val="6"/>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通过遵循以上要求，医疗软件重构将能够确保软件系统的稳定性、安全性、可维护性和可扩展性，为医疗行业提供可靠的技术支持。</w:t>
      </w:r>
    </w:p>
    <w:p w14:paraId="686B08EA">
      <w:pPr>
        <w:pStyle w:val="6"/>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rPr>
        <w:t>4.信息安全要求</w:t>
      </w:r>
    </w:p>
    <w:p w14:paraId="50A39AE2">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乙方配合甲方落实网络信息安全管理所提出的相关技术要求和管理要求，对于各类网络安全检测发现的问题，乙方提供技术支持，配合整改。</w:t>
      </w:r>
    </w:p>
    <w:p w14:paraId="45E7AA83">
      <w:pPr>
        <w:pStyle w:val="6"/>
        <w:spacing w:line="360" w:lineRule="auto"/>
        <w:outlineLvl w:val="3"/>
        <w:rPr>
          <w:rFonts w:hint="eastAsia" w:ascii="仿宋" w:hAnsi="仿宋" w:eastAsia="仿宋" w:cs="仿宋"/>
          <w:b/>
          <w:bCs/>
          <w:sz w:val="24"/>
          <w:szCs w:val="24"/>
          <w:lang w:val="zh-CN"/>
        </w:rPr>
      </w:pPr>
      <w:r>
        <w:rPr>
          <w:rFonts w:hint="eastAsia" w:ascii="仿宋" w:hAnsi="仿宋" w:eastAsia="仿宋" w:cs="仿宋"/>
          <w:b/>
          <w:bCs/>
          <w:sz w:val="24"/>
          <w:szCs w:val="24"/>
        </w:rPr>
        <w:t>5.</w:t>
      </w:r>
      <w:r>
        <w:rPr>
          <w:rFonts w:hint="eastAsia" w:ascii="仿宋" w:hAnsi="仿宋" w:eastAsia="仿宋" w:cs="仿宋"/>
          <w:b/>
          <w:bCs/>
          <w:sz w:val="24"/>
          <w:szCs w:val="24"/>
          <w:lang w:val="zh-CN"/>
        </w:rPr>
        <w:t>其他要求</w:t>
      </w:r>
    </w:p>
    <w:p w14:paraId="36DF14B1">
      <w:pPr>
        <w:pStyle w:val="6"/>
        <w:numPr>
          <w:ilvl w:val="0"/>
          <w:numId w:val="5"/>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lang w:val="zh-CN"/>
        </w:rPr>
        <w:t>合规性：软件产品应符合相关的法律法规、技术标准、相关的国家标准和规范。</w:t>
      </w:r>
    </w:p>
    <w:p w14:paraId="66BF53E3">
      <w:pPr>
        <w:pStyle w:val="6"/>
        <w:numPr>
          <w:ilvl w:val="0"/>
          <w:numId w:val="5"/>
        </w:numPr>
        <w:spacing w:line="360" w:lineRule="auto"/>
        <w:ind w:left="0" w:firstLine="425"/>
        <w:rPr>
          <w:rFonts w:hint="eastAsia" w:ascii="仿宋" w:hAnsi="仿宋" w:eastAsia="仿宋" w:cs="仿宋"/>
          <w:sz w:val="24"/>
          <w:szCs w:val="24"/>
          <w:lang w:val="zh-CN"/>
        </w:rPr>
      </w:pPr>
      <w:r>
        <w:rPr>
          <w:rFonts w:hint="eastAsia" w:ascii="仿宋" w:hAnsi="仿宋" w:eastAsia="仿宋" w:cs="仿宋"/>
          <w:sz w:val="24"/>
          <w:szCs w:val="24"/>
        </w:rPr>
        <w:t>评价</w:t>
      </w:r>
      <w:r>
        <w:rPr>
          <w:rFonts w:hint="eastAsia" w:ascii="仿宋" w:hAnsi="仿宋" w:eastAsia="仿宋" w:cs="仿宋"/>
          <w:sz w:val="24"/>
          <w:szCs w:val="24"/>
          <w:lang w:val="zh-CN"/>
        </w:rPr>
        <w:t>报告：对软件</w:t>
      </w:r>
      <w:r>
        <w:rPr>
          <w:rFonts w:hint="eastAsia" w:ascii="仿宋" w:hAnsi="仿宋" w:eastAsia="仿宋" w:cs="仿宋"/>
          <w:sz w:val="24"/>
          <w:szCs w:val="24"/>
        </w:rPr>
        <w:t>维保服务</w:t>
      </w:r>
      <w:r>
        <w:rPr>
          <w:rFonts w:hint="eastAsia" w:ascii="仿宋" w:hAnsi="仿宋" w:eastAsia="仿宋" w:cs="仿宋"/>
          <w:sz w:val="24"/>
          <w:szCs w:val="24"/>
          <w:lang w:val="zh-CN"/>
        </w:rPr>
        <w:t>进行</w:t>
      </w:r>
      <w:r>
        <w:rPr>
          <w:rFonts w:hint="eastAsia" w:ascii="仿宋" w:hAnsi="仿宋" w:eastAsia="仿宋" w:cs="仿宋"/>
          <w:sz w:val="24"/>
          <w:szCs w:val="24"/>
        </w:rPr>
        <w:t>评价</w:t>
      </w:r>
      <w:r>
        <w:rPr>
          <w:rFonts w:hint="eastAsia" w:ascii="仿宋" w:hAnsi="仿宋" w:eastAsia="仿宋" w:cs="仿宋"/>
          <w:sz w:val="24"/>
          <w:szCs w:val="24"/>
          <w:lang w:val="zh-CN"/>
        </w:rPr>
        <w:t>后，应编制</w:t>
      </w:r>
      <w:r>
        <w:rPr>
          <w:rFonts w:hint="eastAsia" w:ascii="仿宋" w:hAnsi="仿宋" w:eastAsia="仿宋" w:cs="仿宋"/>
          <w:sz w:val="24"/>
          <w:szCs w:val="24"/>
        </w:rPr>
        <w:t>评价</w:t>
      </w:r>
      <w:r>
        <w:rPr>
          <w:rFonts w:hint="eastAsia" w:ascii="仿宋" w:hAnsi="仿宋" w:eastAsia="仿宋" w:cs="仿宋"/>
          <w:sz w:val="24"/>
          <w:szCs w:val="24"/>
          <w:lang w:val="zh-CN"/>
        </w:rPr>
        <w:t>报告，</w:t>
      </w:r>
      <w:r>
        <w:rPr>
          <w:rFonts w:hint="eastAsia" w:ascii="仿宋" w:hAnsi="仿宋" w:eastAsia="仿宋" w:cs="仿宋"/>
          <w:sz w:val="24"/>
          <w:szCs w:val="24"/>
        </w:rPr>
        <w:t>包含用户评价</w:t>
      </w:r>
      <w:r>
        <w:rPr>
          <w:rFonts w:hint="eastAsia" w:ascii="仿宋" w:hAnsi="仿宋" w:eastAsia="仿宋" w:cs="仿宋"/>
          <w:sz w:val="24"/>
          <w:szCs w:val="24"/>
          <w:lang w:val="zh-CN"/>
        </w:rPr>
        <w:t>以及存在的问题和改进建议。</w:t>
      </w:r>
    </w:p>
    <w:p w14:paraId="37C2A690">
      <w:pPr>
        <w:pStyle w:val="3"/>
        <w:numPr>
          <w:ilvl w:val="0"/>
          <w:numId w:val="2"/>
        </w:numPr>
        <w:snapToGrid w:val="0"/>
        <w:spacing w:before="0" w:after="0" w:line="360" w:lineRule="auto"/>
        <w:ind w:firstLine="641" w:firstLineChars="0"/>
        <w:jc w:val="left"/>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售后服务内容</w:t>
      </w:r>
    </w:p>
    <w:tbl>
      <w:tblPr>
        <w:tblStyle w:val="10"/>
        <w:tblW w:w="8784"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03"/>
        <w:gridCol w:w="1134"/>
        <w:gridCol w:w="4029"/>
        <w:gridCol w:w="1843"/>
        <w:gridCol w:w="1275"/>
      </w:tblGrid>
      <w:tr w14:paraId="7B355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03" w:type="dxa"/>
            <w:tcBorders>
              <w:top w:val="single" w:color="auto" w:sz="4" w:space="0"/>
              <w:left w:val="single" w:color="auto" w:sz="4" w:space="0"/>
              <w:bottom w:val="single" w:color="auto" w:sz="4" w:space="0"/>
              <w:right w:val="single" w:color="auto" w:sz="4" w:space="0"/>
            </w:tcBorders>
            <w:vAlign w:val="center"/>
          </w:tcPr>
          <w:p w14:paraId="436B55E4">
            <w:pPr>
              <w:widowControl/>
              <w:spacing w:line="360" w:lineRule="auto"/>
              <w:jc w:val="left"/>
              <w:rPr>
                <w:rFonts w:ascii="仿宋" w:hAnsi="仿宋" w:eastAsia="仿宋" w:cs="仿宋"/>
                <w:b/>
                <w:bCs/>
                <w:sz w:val="24"/>
              </w:rPr>
            </w:pPr>
            <w:r>
              <w:rPr>
                <w:rFonts w:hint="eastAsia" w:ascii="仿宋" w:hAnsi="仿宋" w:eastAsia="仿宋" w:cs="仿宋"/>
                <w:b/>
                <w:bCs/>
                <w:sz w:val="24"/>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379DE1A3">
            <w:pPr>
              <w:widowControl/>
              <w:spacing w:line="360" w:lineRule="auto"/>
              <w:jc w:val="left"/>
              <w:rPr>
                <w:rFonts w:hint="eastAsia" w:ascii="仿宋" w:hAnsi="仿宋" w:eastAsia="仿宋" w:cs="仿宋"/>
                <w:b/>
                <w:bCs/>
                <w:sz w:val="24"/>
              </w:rPr>
            </w:pPr>
            <w:r>
              <w:rPr>
                <w:rFonts w:hint="eastAsia" w:ascii="仿宋" w:hAnsi="仿宋" w:eastAsia="仿宋" w:cs="仿宋"/>
                <w:b/>
                <w:bCs/>
                <w:sz w:val="24"/>
              </w:rPr>
              <w:t>服务项目</w:t>
            </w:r>
          </w:p>
        </w:tc>
        <w:tc>
          <w:tcPr>
            <w:tcW w:w="4029" w:type="dxa"/>
            <w:tcBorders>
              <w:top w:val="single" w:color="auto" w:sz="4" w:space="0"/>
              <w:left w:val="single" w:color="auto" w:sz="4" w:space="0"/>
              <w:bottom w:val="single" w:color="auto" w:sz="4" w:space="0"/>
              <w:right w:val="single" w:color="auto" w:sz="4" w:space="0"/>
            </w:tcBorders>
            <w:vAlign w:val="center"/>
          </w:tcPr>
          <w:p w14:paraId="48738416">
            <w:pPr>
              <w:widowControl/>
              <w:spacing w:line="360" w:lineRule="auto"/>
              <w:jc w:val="left"/>
              <w:rPr>
                <w:rFonts w:hint="eastAsia" w:ascii="仿宋" w:hAnsi="仿宋" w:eastAsia="仿宋" w:cs="仿宋"/>
                <w:b/>
                <w:bCs/>
                <w:sz w:val="24"/>
              </w:rPr>
            </w:pPr>
            <w:r>
              <w:rPr>
                <w:rFonts w:hint="eastAsia" w:ascii="仿宋" w:hAnsi="仿宋" w:eastAsia="仿宋" w:cs="仿宋"/>
                <w:b/>
                <w:bCs/>
                <w:sz w:val="24"/>
              </w:rPr>
              <w:t>服务内容</w:t>
            </w:r>
          </w:p>
        </w:tc>
        <w:tc>
          <w:tcPr>
            <w:tcW w:w="1843" w:type="dxa"/>
            <w:tcBorders>
              <w:top w:val="single" w:color="auto" w:sz="4" w:space="0"/>
              <w:left w:val="single" w:color="auto" w:sz="4" w:space="0"/>
              <w:bottom w:val="single" w:color="auto" w:sz="4" w:space="0"/>
              <w:right w:val="single" w:color="auto" w:sz="4" w:space="0"/>
            </w:tcBorders>
            <w:vAlign w:val="center"/>
          </w:tcPr>
          <w:p w14:paraId="5E90D8BE">
            <w:pPr>
              <w:widowControl/>
              <w:spacing w:line="360" w:lineRule="auto"/>
              <w:jc w:val="left"/>
              <w:rPr>
                <w:rFonts w:hint="eastAsia" w:ascii="仿宋" w:hAnsi="仿宋" w:eastAsia="仿宋" w:cs="仿宋"/>
                <w:b/>
                <w:bCs/>
                <w:sz w:val="24"/>
              </w:rPr>
            </w:pPr>
            <w:r>
              <w:rPr>
                <w:rFonts w:hint="eastAsia" w:ascii="仿宋" w:hAnsi="仿宋" w:eastAsia="仿宋" w:cs="仿宋"/>
                <w:b/>
                <w:bCs/>
                <w:sz w:val="24"/>
              </w:rPr>
              <w:t>服务方式</w:t>
            </w:r>
          </w:p>
        </w:tc>
        <w:tc>
          <w:tcPr>
            <w:tcW w:w="1275" w:type="dxa"/>
            <w:tcBorders>
              <w:top w:val="single" w:color="auto" w:sz="4" w:space="0"/>
              <w:left w:val="single" w:color="auto" w:sz="4" w:space="0"/>
              <w:bottom w:val="single" w:color="auto" w:sz="4" w:space="0"/>
              <w:right w:val="single" w:color="auto" w:sz="4" w:space="0"/>
            </w:tcBorders>
            <w:vAlign w:val="center"/>
          </w:tcPr>
          <w:p w14:paraId="1FAAA00E">
            <w:pPr>
              <w:widowControl/>
              <w:spacing w:line="360" w:lineRule="auto"/>
              <w:jc w:val="left"/>
              <w:rPr>
                <w:rFonts w:hint="eastAsia" w:ascii="仿宋" w:hAnsi="仿宋" w:eastAsia="仿宋" w:cs="仿宋"/>
                <w:b/>
                <w:bCs/>
                <w:sz w:val="24"/>
              </w:rPr>
            </w:pPr>
            <w:r>
              <w:rPr>
                <w:rFonts w:hint="eastAsia" w:ascii="仿宋" w:hAnsi="仿宋" w:eastAsia="仿宋" w:cs="仿宋"/>
                <w:b/>
                <w:bCs/>
                <w:sz w:val="24"/>
              </w:rPr>
              <w:t>响应时间</w:t>
            </w:r>
          </w:p>
        </w:tc>
      </w:tr>
      <w:tr w14:paraId="72A58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03" w:type="dxa"/>
            <w:tcBorders>
              <w:top w:val="single" w:color="auto" w:sz="4" w:space="0"/>
              <w:left w:val="single" w:color="auto" w:sz="4" w:space="0"/>
              <w:bottom w:val="single" w:color="auto" w:sz="4" w:space="0"/>
              <w:right w:val="single" w:color="auto" w:sz="4" w:space="0"/>
            </w:tcBorders>
            <w:vAlign w:val="center"/>
          </w:tcPr>
          <w:p w14:paraId="523D53AC">
            <w:pPr>
              <w:widowControl/>
              <w:spacing w:line="360" w:lineRule="auto"/>
              <w:jc w:val="left"/>
              <w:rPr>
                <w:rFonts w:hint="eastAsia" w:ascii="仿宋" w:hAnsi="仿宋" w:eastAsia="仿宋" w:cs="仿宋"/>
                <w:sz w:val="24"/>
              </w:rPr>
            </w:pPr>
            <w:r>
              <w:rPr>
                <w:rFonts w:hint="eastAsia" w:ascii="仿宋" w:hAnsi="仿宋" w:eastAsia="仿宋" w:cs="仿宋"/>
                <w:sz w:val="24"/>
              </w:rPr>
              <w:t>1</w:t>
            </w:r>
          </w:p>
        </w:tc>
        <w:tc>
          <w:tcPr>
            <w:tcW w:w="1134" w:type="dxa"/>
            <w:tcBorders>
              <w:top w:val="single" w:color="auto" w:sz="4" w:space="0"/>
              <w:left w:val="single" w:color="auto" w:sz="4" w:space="0"/>
              <w:bottom w:val="single" w:color="auto" w:sz="4" w:space="0"/>
              <w:right w:val="single" w:color="auto" w:sz="4" w:space="0"/>
            </w:tcBorders>
            <w:vAlign w:val="center"/>
          </w:tcPr>
          <w:p w14:paraId="46FFD4D9">
            <w:pPr>
              <w:widowControl/>
              <w:spacing w:line="360" w:lineRule="auto"/>
              <w:jc w:val="left"/>
              <w:rPr>
                <w:rFonts w:hint="eastAsia" w:ascii="仿宋" w:hAnsi="仿宋" w:eastAsia="仿宋" w:cs="仿宋"/>
                <w:sz w:val="24"/>
              </w:rPr>
            </w:pPr>
            <w:r>
              <w:rPr>
                <w:rFonts w:hint="eastAsia" w:ascii="仿宋" w:hAnsi="仿宋" w:eastAsia="仿宋" w:cs="仿宋"/>
                <w:sz w:val="24"/>
              </w:rPr>
              <w:t>咨询服务</w:t>
            </w:r>
          </w:p>
        </w:tc>
        <w:tc>
          <w:tcPr>
            <w:tcW w:w="4029" w:type="dxa"/>
            <w:tcBorders>
              <w:top w:val="single" w:color="auto" w:sz="4" w:space="0"/>
              <w:left w:val="single" w:color="auto" w:sz="4" w:space="0"/>
              <w:bottom w:val="single" w:color="auto" w:sz="4" w:space="0"/>
              <w:right w:val="single" w:color="auto" w:sz="4" w:space="0"/>
            </w:tcBorders>
            <w:vAlign w:val="center"/>
          </w:tcPr>
          <w:p w14:paraId="35F4970B">
            <w:pPr>
              <w:widowControl/>
              <w:spacing w:line="360" w:lineRule="auto"/>
              <w:jc w:val="left"/>
              <w:rPr>
                <w:rFonts w:hint="eastAsia" w:ascii="仿宋" w:hAnsi="仿宋" w:eastAsia="仿宋" w:cs="仿宋"/>
                <w:sz w:val="24"/>
              </w:rPr>
            </w:pPr>
            <w:r>
              <w:rPr>
                <w:rFonts w:hint="eastAsia" w:ascii="仿宋" w:hAnsi="仿宋" w:eastAsia="仿宋" w:cs="仿宋"/>
                <w:sz w:val="24"/>
              </w:rPr>
              <w:t>软件功能的应用咨询。</w:t>
            </w:r>
            <w:r>
              <w:rPr>
                <w:rFonts w:hint="eastAsia" w:ascii="仿宋" w:hAnsi="仿宋" w:eastAsia="仿宋" w:cs="仿宋"/>
                <w:bCs/>
                <w:sz w:val="24"/>
              </w:rPr>
              <w:t>若存在甲方所用系统有新的版本或有新的硬件部件可应用到系统上的情形，乙方应及时通知甲方，并根据具体情况为甲方提供操作系统的升级方案</w:t>
            </w:r>
          </w:p>
        </w:tc>
        <w:tc>
          <w:tcPr>
            <w:tcW w:w="1843" w:type="dxa"/>
            <w:tcBorders>
              <w:top w:val="single" w:color="auto" w:sz="4" w:space="0"/>
              <w:left w:val="single" w:color="auto" w:sz="4" w:space="0"/>
              <w:bottom w:val="single" w:color="auto" w:sz="4" w:space="0"/>
              <w:right w:val="single" w:color="auto" w:sz="4" w:space="0"/>
            </w:tcBorders>
            <w:vAlign w:val="center"/>
          </w:tcPr>
          <w:p w14:paraId="7C990CE9">
            <w:pPr>
              <w:widowControl/>
              <w:spacing w:line="360" w:lineRule="auto"/>
              <w:jc w:val="left"/>
              <w:rPr>
                <w:rFonts w:hint="eastAsia" w:ascii="仿宋" w:hAnsi="仿宋" w:eastAsia="仿宋" w:cs="仿宋"/>
                <w:sz w:val="24"/>
              </w:rPr>
            </w:pPr>
            <w:r>
              <w:rPr>
                <w:rFonts w:hint="eastAsia" w:ascii="仿宋" w:hAnsi="仿宋" w:eastAsia="仿宋" w:cs="仿宋"/>
                <w:sz w:val="24"/>
              </w:rPr>
              <w:t>电话、电子邮箱、网络远程、QQ</w:t>
            </w:r>
          </w:p>
        </w:tc>
        <w:tc>
          <w:tcPr>
            <w:tcW w:w="1275" w:type="dxa"/>
            <w:tcBorders>
              <w:top w:val="single" w:color="auto" w:sz="4" w:space="0"/>
              <w:left w:val="single" w:color="auto" w:sz="4" w:space="0"/>
              <w:bottom w:val="single" w:color="auto" w:sz="4" w:space="0"/>
              <w:right w:val="single" w:color="auto" w:sz="4" w:space="0"/>
            </w:tcBorders>
            <w:vAlign w:val="center"/>
          </w:tcPr>
          <w:p w14:paraId="4EC5D87B">
            <w:pPr>
              <w:widowControl/>
              <w:spacing w:line="360" w:lineRule="auto"/>
              <w:jc w:val="left"/>
              <w:rPr>
                <w:rFonts w:hint="eastAsia" w:ascii="仿宋" w:hAnsi="仿宋" w:eastAsia="仿宋" w:cs="仿宋"/>
                <w:sz w:val="24"/>
              </w:rPr>
            </w:pPr>
            <w:r>
              <w:rPr>
                <w:rFonts w:hint="eastAsia" w:ascii="仿宋" w:hAnsi="仿宋" w:eastAsia="仿宋" w:cs="仿宋"/>
                <w:sz w:val="24"/>
              </w:rPr>
              <w:t>12小时内响应</w:t>
            </w:r>
          </w:p>
        </w:tc>
      </w:tr>
      <w:tr w14:paraId="0B77B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03" w:type="dxa"/>
            <w:tcBorders>
              <w:top w:val="single" w:color="auto" w:sz="4" w:space="0"/>
              <w:left w:val="single" w:color="auto" w:sz="4" w:space="0"/>
              <w:bottom w:val="single" w:color="auto" w:sz="4" w:space="0"/>
              <w:right w:val="single" w:color="auto" w:sz="4" w:space="0"/>
            </w:tcBorders>
            <w:vAlign w:val="center"/>
          </w:tcPr>
          <w:p w14:paraId="31610149">
            <w:pPr>
              <w:widowControl/>
              <w:spacing w:line="360" w:lineRule="auto"/>
              <w:jc w:val="left"/>
              <w:rPr>
                <w:rFonts w:hint="eastAsia" w:ascii="仿宋" w:hAnsi="仿宋" w:eastAsia="仿宋" w:cs="仿宋"/>
                <w:sz w:val="24"/>
              </w:rPr>
            </w:pPr>
            <w:r>
              <w:rPr>
                <w:rFonts w:hint="eastAsia" w:ascii="仿宋" w:hAnsi="仿宋" w:eastAsia="仿宋" w:cs="仿宋"/>
                <w:sz w:val="24"/>
              </w:rPr>
              <w:t>2</w:t>
            </w:r>
          </w:p>
        </w:tc>
        <w:tc>
          <w:tcPr>
            <w:tcW w:w="1134" w:type="dxa"/>
            <w:tcBorders>
              <w:top w:val="single" w:color="auto" w:sz="4" w:space="0"/>
              <w:left w:val="single" w:color="auto" w:sz="4" w:space="0"/>
              <w:bottom w:val="single" w:color="auto" w:sz="4" w:space="0"/>
              <w:right w:val="single" w:color="auto" w:sz="4" w:space="0"/>
            </w:tcBorders>
            <w:vAlign w:val="center"/>
          </w:tcPr>
          <w:p w14:paraId="67DD87A5">
            <w:pPr>
              <w:widowControl/>
              <w:spacing w:line="360" w:lineRule="auto"/>
              <w:jc w:val="left"/>
              <w:rPr>
                <w:rFonts w:hint="eastAsia" w:ascii="仿宋" w:hAnsi="仿宋" w:eastAsia="仿宋" w:cs="仿宋"/>
                <w:bCs/>
                <w:sz w:val="24"/>
              </w:rPr>
            </w:pPr>
            <w:r>
              <w:rPr>
                <w:rFonts w:hint="eastAsia" w:ascii="仿宋" w:hAnsi="仿宋" w:eastAsia="仿宋" w:cs="仿宋"/>
                <w:bCs/>
                <w:sz w:val="24"/>
              </w:rPr>
              <w:t>日常维护</w:t>
            </w:r>
          </w:p>
        </w:tc>
        <w:tc>
          <w:tcPr>
            <w:tcW w:w="4029" w:type="dxa"/>
            <w:tcBorders>
              <w:top w:val="single" w:color="auto" w:sz="4" w:space="0"/>
              <w:left w:val="single" w:color="auto" w:sz="4" w:space="0"/>
              <w:bottom w:val="single" w:color="auto" w:sz="4" w:space="0"/>
              <w:right w:val="single" w:color="auto" w:sz="4" w:space="0"/>
            </w:tcBorders>
            <w:vAlign w:val="center"/>
          </w:tcPr>
          <w:p w14:paraId="14DFD307">
            <w:pPr>
              <w:widowControl/>
              <w:spacing w:line="360" w:lineRule="auto"/>
              <w:jc w:val="left"/>
              <w:rPr>
                <w:rFonts w:hint="eastAsia" w:ascii="仿宋" w:hAnsi="仿宋" w:eastAsia="仿宋" w:cs="仿宋"/>
                <w:bCs/>
                <w:sz w:val="24"/>
              </w:rPr>
            </w:pPr>
            <w:r>
              <w:rPr>
                <w:rFonts w:hint="eastAsia" w:ascii="仿宋" w:hAnsi="仿宋" w:eastAsia="仿宋" w:cs="仿宋"/>
                <w:bCs/>
                <w:sz w:val="24"/>
              </w:rPr>
              <w:t>包括系统操作指导、因系统缺陷导致的各种BUG的修复、因误操作导致的数据错误维护等等；乙方指派专业维修人员为甲方提供售后服务</w:t>
            </w:r>
          </w:p>
        </w:tc>
        <w:tc>
          <w:tcPr>
            <w:tcW w:w="1843" w:type="dxa"/>
            <w:tcBorders>
              <w:top w:val="single" w:color="auto" w:sz="4" w:space="0"/>
              <w:left w:val="single" w:color="auto" w:sz="4" w:space="0"/>
              <w:bottom w:val="single" w:color="auto" w:sz="4" w:space="0"/>
              <w:right w:val="single" w:color="auto" w:sz="4" w:space="0"/>
            </w:tcBorders>
            <w:vAlign w:val="center"/>
          </w:tcPr>
          <w:p w14:paraId="75B60E76">
            <w:pPr>
              <w:widowControl/>
              <w:spacing w:line="360" w:lineRule="auto"/>
              <w:jc w:val="left"/>
              <w:rPr>
                <w:rFonts w:hint="eastAsia" w:ascii="仿宋" w:hAnsi="仿宋" w:eastAsia="仿宋" w:cs="仿宋"/>
                <w:bCs/>
                <w:sz w:val="24"/>
              </w:rPr>
            </w:pPr>
            <w:r>
              <w:rPr>
                <w:rFonts w:hint="eastAsia" w:ascii="仿宋" w:hAnsi="仿宋" w:eastAsia="仿宋" w:cs="仿宋"/>
                <w:sz w:val="24"/>
              </w:rPr>
              <w:t>电话、电子邮箱、网络远程、QQ</w:t>
            </w:r>
          </w:p>
        </w:tc>
        <w:tc>
          <w:tcPr>
            <w:tcW w:w="1275" w:type="dxa"/>
            <w:tcBorders>
              <w:top w:val="single" w:color="auto" w:sz="4" w:space="0"/>
              <w:left w:val="single" w:color="auto" w:sz="4" w:space="0"/>
              <w:bottom w:val="single" w:color="auto" w:sz="4" w:space="0"/>
              <w:right w:val="single" w:color="auto" w:sz="4" w:space="0"/>
            </w:tcBorders>
            <w:vAlign w:val="center"/>
          </w:tcPr>
          <w:p w14:paraId="0EA141B0">
            <w:pPr>
              <w:widowControl/>
              <w:spacing w:line="360" w:lineRule="auto"/>
              <w:jc w:val="left"/>
              <w:rPr>
                <w:rFonts w:hint="eastAsia" w:ascii="仿宋" w:hAnsi="仿宋" w:eastAsia="仿宋" w:cs="仿宋"/>
                <w:sz w:val="24"/>
              </w:rPr>
            </w:pPr>
            <w:r>
              <w:rPr>
                <w:rFonts w:hint="eastAsia" w:ascii="仿宋" w:hAnsi="仿宋" w:eastAsia="仿宋" w:cs="仿宋"/>
                <w:bCs/>
                <w:sz w:val="24"/>
              </w:rPr>
              <w:t>12小时内响应</w:t>
            </w:r>
          </w:p>
        </w:tc>
      </w:tr>
      <w:tr w14:paraId="66EA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68" w:hRule="atLeast"/>
        </w:trPr>
        <w:tc>
          <w:tcPr>
            <w:tcW w:w="503" w:type="dxa"/>
            <w:tcBorders>
              <w:top w:val="single" w:color="auto" w:sz="4" w:space="0"/>
              <w:left w:val="single" w:color="auto" w:sz="4" w:space="0"/>
              <w:bottom w:val="single" w:color="auto" w:sz="4" w:space="0"/>
              <w:right w:val="single" w:color="auto" w:sz="4" w:space="0"/>
            </w:tcBorders>
            <w:vAlign w:val="center"/>
          </w:tcPr>
          <w:p w14:paraId="0BF429BF">
            <w:pPr>
              <w:widowControl/>
              <w:spacing w:line="360" w:lineRule="auto"/>
              <w:jc w:val="left"/>
              <w:rPr>
                <w:rFonts w:hint="eastAsia" w:ascii="仿宋" w:hAnsi="仿宋" w:eastAsia="仿宋" w:cs="仿宋"/>
                <w:sz w:val="24"/>
              </w:rPr>
            </w:pPr>
            <w:r>
              <w:rPr>
                <w:rFonts w:hint="eastAsia" w:ascii="仿宋" w:hAnsi="仿宋" w:eastAsia="仿宋" w:cs="仿宋"/>
                <w:sz w:val="24"/>
              </w:rPr>
              <w:t>3</w:t>
            </w:r>
          </w:p>
        </w:tc>
        <w:tc>
          <w:tcPr>
            <w:tcW w:w="1134" w:type="dxa"/>
            <w:tcBorders>
              <w:top w:val="single" w:color="auto" w:sz="4" w:space="0"/>
              <w:left w:val="single" w:color="auto" w:sz="4" w:space="0"/>
              <w:bottom w:val="single" w:color="auto" w:sz="4" w:space="0"/>
              <w:right w:val="single" w:color="auto" w:sz="4" w:space="0"/>
            </w:tcBorders>
            <w:vAlign w:val="center"/>
          </w:tcPr>
          <w:p w14:paraId="1B5285D4">
            <w:pPr>
              <w:widowControl/>
              <w:spacing w:line="360" w:lineRule="auto"/>
              <w:jc w:val="left"/>
              <w:rPr>
                <w:rFonts w:hint="eastAsia" w:ascii="仿宋" w:hAnsi="仿宋" w:eastAsia="仿宋" w:cs="仿宋"/>
                <w:sz w:val="24"/>
              </w:rPr>
            </w:pPr>
            <w:r>
              <w:rPr>
                <w:rFonts w:hint="eastAsia" w:ascii="仿宋" w:hAnsi="仿宋" w:eastAsia="仿宋" w:cs="仿宋"/>
                <w:sz w:val="24"/>
              </w:rPr>
              <w:t>紧急情况</w:t>
            </w:r>
          </w:p>
        </w:tc>
        <w:tc>
          <w:tcPr>
            <w:tcW w:w="4029" w:type="dxa"/>
            <w:tcBorders>
              <w:top w:val="single" w:color="auto" w:sz="4" w:space="0"/>
              <w:left w:val="single" w:color="auto" w:sz="4" w:space="0"/>
              <w:bottom w:val="single" w:color="auto" w:sz="4" w:space="0"/>
              <w:right w:val="single" w:color="auto" w:sz="4" w:space="0"/>
            </w:tcBorders>
            <w:vAlign w:val="center"/>
          </w:tcPr>
          <w:p w14:paraId="3BCAF7B2">
            <w:pPr>
              <w:widowControl/>
              <w:spacing w:line="360" w:lineRule="auto"/>
              <w:jc w:val="left"/>
              <w:rPr>
                <w:rFonts w:hint="eastAsia" w:ascii="仿宋" w:hAnsi="仿宋" w:eastAsia="仿宋" w:cs="仿宋"/>
                <w:bCs/>
                <w:sz w:val="24"/>
              </w:rPr>
            </w:pPr>
            <w:r>
              <w:rPr>
                <w:rFonts w:hint="eastAsia" w:ascii="仿宋" w:hAnsi="仿宋" w:eastAsia="仿宋" w:cs="仿宋"/>
                <w:bCs/>
                <w:sz w:val="24"/>
              </w:rPr>
              <w:t>甲方遇有突发紧急情况需要现场处理的</w:t>
            </w:r>
          </w:p>
        </w:tc>
        <w:tc>
          <w:tcPr>
            <w:tcW w:w="1843" w:type="dxa"/>
            <w:tcBorders>
              <w:top w:val="single" w:color="auto" w:sz="4" w:space="0"/>
              <w:left w:val="single" w:color="auto" w:sz="4" w:space="0"/>
              <w:bottom w:val="single" w:color="auto" w:sz="4" w:space="0"/>
              <w:right w:val="single" w:color="auto" w:sz="4" w:space="0"/>
            </w:tcBorders>
            <w:vAlign w:val="center"/>
          </w:tcPr>
          <w:p w14:paraId="0530CEA2">
            <w:pPr>
              <w:widowControl/>
              <w:spacing w:line="360" w:lineRule="auto"/>
              <w:jc w:val="left"/>
              <w:rPr>
                <w:rFonts w:hint="eastAsia" w:ascii="仿宋" w:hAnsi="仿宋" w:eastAsia="仿宋" w:cs="仿宋"/>
                <w:sz w:val="24"/>
              </w:rPr>
            </w:pPr>
            <w:r>
              <w:rPr>
                <w:rFonts w:hint="eastAsia" w:ascii="仿宋" w:hAnsi="仿宋" w:eastAsia="仿宋" w:cs="仿宋"/>
                <w:sz w:val="24"/>
              </w:rPr>
              <w:t>现场处理</w:t>
            </w:r>
          </w:p>
        </w:tc>
        <w:tc>
          <w:tcPr>
            <w:tcW w:w="1275" w:type="dxa"/>
            <w:tcBorders>
              <w:top w:val="single" w:color="auto" w:sz="4" w:space="0"/>
              <w:left w:val="single" w:color="auto" w:sz="4" w:space="0"/>
              <w:bottom w:val="single" w:color="auto" w:sz="4" w:space="0"/>
              <w:right w:val="single" w:color="auto" w:sz="4" w:space="0"/>
            </w:tcBorders>
            <w:vAlign w:val="center"/>
          </w:tcPr>
          <w:p w14:paraId="4950A654">
            <w:pPr>
              <w:widowControl/>
              <w:spacing w:line="360" w:lineRule="auto"/>
              <w:jc w:val="left"/>
              <w:rPr>
                <w:rFonts w:hint="eastAsia" w:ascii="仿宋" w:hAnsi="仿宋" w:eastAsia="仿宋" w:cs="仿宋"/>
                <w:sz w:val="24"/>
              </w:rPr>
            </w:pPr>
            <w:r>
              <w:rPr>
                <w:rFonts w:hint="eastAsia" w:ascii="仿宋" w:hAnsi="仿宋" w:eastAsia="仿宋" w:cs="仿宋"/>
                <w:bCs/>
                <w:sz w:val="24"/>
              </w:rPr>
              <w:t>2小时内响应</w:t>
            </w:r>
          </w:p>
        </w:tc>
      </w:tr>
      <w:tr w14:paraId="7D7EE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03" w:type="dxa"/>
            <w:tcBorders>
              <w:top w:val="single" w:color="auto" w:sz="4" w:space="0"/>
              <w:left w:val="single" w:color="auto" w:sz="4" w:space="0"/>
              <w:bottom w:val="single" w:color="auto" w:sz="4" w:space="0"/>
              <w:right w:val="single" w:color="auto" w:sz="4" w:space="0"/>
            </w:tcBorders>
            <w:vAlign w:val="center"/>
          </w:tcPr>
          <w:p w14:paraId="547F8200">
            <w:pPr>
              <w:widowControl/>
              <w:spacing w:line="360" w:lineRule="auto"/>
              <w:jc w:val="left"/>
              <w:rPr>
                <w:rFonts w:hint="eastAsia" w:ascii="仿宋" w:hAnsi="仿宋" w:eastAsia="仿宋" w:cs="仿宋"/>
                <w:sz w:val="24"/>
              </w:rPr>
            </w:pPr>
            <w:r>
              <w:rPr>
                <w:rFonts w:hint="eastAsia" w:ascii="仿宋" w:hAnsi="仿宋" w:eastAsia="仿宋" w:cs="仿宋"/>
                <w:sz w:val="24"/>
              </w:rPr>
              <w:t>4</w:t>
            </w:r>
          </w:p>
        </w:tc>
        <w:tc>
          <w:tcPr>
            <w:tcW w:w="1134" w:type="dxa"/>
            <w:tcBorders>
              <w:top w:val="single" w:color="auto" w:sz="4" w:space="0"/>
              <w:left w:val="single" w:color="auto" w:sz="4" w:space="0"/>
              <w:bottom w:val="single" w:color="auto" w:sz="4" w:space="0"/>
              <w:right w:val="single" w:color="auto" w:sz="4" w:space="0"/>
            </w:tcBorders>
            <w:vAlign w:val="center"/>
          </w:tcPr>
          <w:p w14:paraId="7A8AE537">
            <w:pPr>
              <w:widowControl/>
              <w:spacing w:line="360" w:lineRule="auto"/>
              <w:jc w:val="left"/>
              <w:rPr>
                <w:rFonts w:hint="eastAsia" w:ascii="仿宋" w:hAnsi="仿宋" w:eastAsia="仿宋" w:cs="仿宋"/>
                <w:sz w:val="24"/>
              </w:rPr>
            </w:pPr>
            <w:r>
              <w:rPr>
                <w:rFonts w:hint="eastAsia" w:ascii="仿宋" w:hAnsi="仿宋" w:eastAsia="仿宋" w:cs="仿宋"/>
                <w:sz w:val="24"/>
              </w:rPr>
              <w:t>需求变更</w:t>
            </w:r>
          </w:p>
        </w:tc>
        <w:tc>
          <w:tcPr>
            <w:tcW w:w="4029" w:type="dxa"/>
            <w:tcBorders>
              <w:top w:val="single" w:color="auto" w:sz="4" w:space="0"/>
              <w:left w:val="single" w:color="auto" w:sz="4" w:space="0"/>
              <w:bottom w:val="single" w:color="auto" w:sz="4" w:space="0"/>
              <w:right w:val="single" w:color="auto" w:sz="4" w:space="0"/>
            </w:tcBorders>
            <w:vAlign w:val="center"/>
          </w:tcPr>
          <w:p w14:paraId="2F41291A">
            <w:pPr>
              <w:widowControl/>
              <w:spacing w:line="360" w:lineRule="auto"/>
              <w:jc w:val="left"/>
              <w:rPr>
                <w:rFonts w:hint="eastAsia" w:ascii="仿宋" w:hAnsi="仿宋" w:eastAsia="仿宋" w:cs="仿宋"/>
                <w:bCs/>
                <w:sz w:val="24"/>
              </w:rPr>
            </w:pPr>
            <w:r>
              <w:rPr>
                <w:rFonts w:hint="eastAsia" w:ascii="仿宋" w:hAnsi="仿宋" w:eastAsia="仿宋" w:cs="仿宋"/>
                <w:bCs/>
                <w:sz w:val="24"/>
              </w:rPr>
              <w:t>已应用模块范围内的功能需求调整、修改（不包括涉及系统整体结构及模块结构改变的需求，需求修改不超过3个工作日）。</w:t>
            </w:r>
          </w:p>
        </w:tc>
        <w:tc>
          <w:tcPr>
            <w:tcW w:w="1843" w:type="dxa"/>
            <w:tcBorders>
              <w:top w:val="single" w:color="auto" w:sz="4" w:space="0"/>
              <w:left w:val="single" w:color="auto" w:sz="4" w:space="0"/>
              <w:bottom w:val="single" w:color="auto" w:sz="4" w:space="0"/>
              <w:right w:val="single" w:color="auto" w:sz="4" w:space="0"/>
            </w:tcBorders>
            <w:vAlign w:val="center"/>
          </w:tcPr>
          <w:p w14:paraId="10426C83">
            <w:pPr>
              <w:widowControl/>
              <w:spacing w:line="360" w:lineRule="auto"/>
              <w:jc w:val="left"/>
              <w:rPr>
                <w:rFonts w:hint="eastAsia" w:ascii="仿宋" w:hAnsi="仿宋" w:eastAsia="仿宋" w:cs="仿宋"/>
                <w:bCs/>
                <w:sz w:val="24"/>
              </w:rPr>
            </w:pPr>
            <w:r>
              <w:rPr>
                <w:rFonts w:hint="eastAsia" w:ascii="仿宋" w:hAnsi="仿宋" w:eastAsia="仿宋" w:cs="仿宋"/>
                <w:sz w:val="24"/>
              </w:rPr>
              <w:t>电话、电子邮箱、网络远程、QQ</w:t>
            </w:r>
          </w:p>
        </w:tc>
        <w:tc>
          <w:tcPr>
            <w:tcW w:w="1275" w:type="dxa"/>
            <w:tcBorders>
              <w:top w:val="single" w:color="auto" w:sz="4" w:space="0"/>
              <w:left w:val="single" w:color="auto" w:sz="4" w:space="0"/>
              <w:bottom w:val="single" w:color="auto" w:sz="4" w:space="0"/>
              <w:right w:val="single" w:color="auto" w:sz="4" w:space="0"/>
            </w:tcBorders>
            <w:vAlign w:val="center"/>
          </w:tcPr>
          <w:p w14:paraId="210E5556">
            <w:pPr>
              <w:widowControl/>
              <w:spacing w:line="360" w:lineRule="auto"/>
              <w:jc w:val="left"/>
              <w:rPr>
                <w:rFonts w:hint="eastAsia" w:ascii="仿宋" w:hAnsi="仿宋" w:eastAsia="仿宋" w:cs="仿宋"/>
                <w:sz w:val="24"/>
              </w:rPr>
            </w:pPr>
            <w:r>
              <w:rPr>
                <w:rFonts w:hint="eastAsia" w:ascii="仿宋" w:hAnsi="仿宋" w:eastAsia="仿宋" w:cs="仿宋"/>
                <w:sz w:val="24"/>
              </w:rPr>
              <w:t>12小时内响应</w:t>
            </w:r>
          </w:p>
        </w:tc>
      </w:tr>
      <w:tr w14:paraId="251A7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03" w:type="dxa"/>
            <w:tcBorders>
              <w:top w:val="single" w:color="auto" w:sz="4" w:space="0"/>
              <w:left w:val="single" w:color="auto" w:sz="4" w:space="0"/>
              <w:bottom w:val="single" w:color="auto" w:sz="4" w:space="0"/>
              <w:right w:val="single" w:color="auto" w:sz="4" w:space="0"/>
            </w:tcBorders>
            <w:vAlign w:val="center"/>
          </w:tcPr>
          <w:p w14:paraId="444CD059">
            <w:pPr>
              <w:widowControl/>
              <w:spacing w:line="360" w:lineRule="auto"/>
              <w:jc w:val="left"/>
              <w:rPr>
                <w:rFonts w:hint="eastAsia" w:ascii="仿宋" w:hAnsi="仿宋" w:eastAsia="仿宋" w:cs="仿宋"/>
                <w:sz w:val="24"/>
              </w:rPr>
            </w:pPr>
            <w:r>
              <w:rPr>
                <w:rFonts w:hint="eastAsia" w:ascii="仿宋" w:hAnsi="仿宋" w:eastAsia="仿宋" w:cs="仿宋"/>
                <w:sz w:val="24"/>
              </w:rPr>
              <w:t>5</w:t>
            </w:r>
          </w:p>
        </w:tc>
        <w:tc>
          <w:tcPr>
            <w:tcW w:w="1134" w:type="dxa"/>
            <w:tcBorders>
              <w:top w:val="single" w:color="auto" w:sz="4" w:space="0"/>
              <w:left w:val="single" w:color="auto" w:sz="4" w:space="0"/>
              <w:bottom w:val="single" w:color="auto" w:sz="4" w:space="0"/>
              <w:right w:val="single" w:color="auto" w:sz="4" w:space="0"/>
            </w:tcBorders>
            <w:vAlign w:val="center"/>
          </w:tcPr>
          <w:p w14:paraId="1A5A43AB">
            <w:pPr>
              <w:widowControl/>
              <w:spacing w:line="360" w:lineRule="auto"/>
              <w:jc w:val="left"/>
              <w:rPr>
                <w:rFonts w:hint="eastAsia" w:ascii="仿宋" w:hAnsi="仿宋" w:eastAsia="仿宋" w:cs="仿宋"/>
                <w:b/>
                <w:bCs/>
                <w:sz w:val="24"/>
              </w:rPr>
            </w:pPr>
            <w:r>
              <w:rPr>
                <w:rFonts w:hint="eastAsia" w:ascii="仿宋" w:hAnsi="仿宋" w:eastAsia="仿宋" w:cs="仿宋"/>
                <w:sz w:val="24"/>
              </w:rPr>
              <w:t>数据恢复</w:t>
            </w:r>
          </w:p>
        </w:tc>
        <w:tc>
          <w:tcPr>
            <w:tcW w:w="4029" w:type="dxa"/>
            <w:tcBorders>
              <w:top w:val="single" w:color="auto" w:sz="4" w:space="0"/>
              <w:left w:val="single" w:color="auto" w:sz="4" w:space="0"/>
              <w:bottom w:val="single" w:color="auto" w:sz="4" w:space="0"/>
              <w:right w:val="single" w:color="auto" w:sz="4" w:space="0"/>
            </w:tcBorders>
            <w:vAlign w:val="center"/>
          </w:tcPr>
          <w:p w14:paraId="3E99D0D8">
            <w:pPr>
              <w:widowControl/>
              <w:spacing w:line="360" w:lineRule="auto"/>
              <w:jc w:val="left"/>
              <w:rPr>
                <w:rFonts w:hint="eastAsia" w:ascii="仿宋" w:hAnsi="仿宋" w:eastAsia="仿宋" w:cs="仿宋"/>
                <w:bCs/>
                <w:sz w:val="24"/>
              </w:rPr>
            </w:pPr>
            <w:r>
              <w:rPr>
                <w:rFonts w:hint="eastAsia" w:ascii="仿宋" w:hAnsi="仿宋" w:eastAsia="仿宋" w:cs="仿宋"/>
                <w:sz w:val="24"/>
              </w:rPr>
              <w:t>因客户操作不当或其它原因导致</w:t>
            </w:r>
            <w:r>
              <w:rPr>
                <w:rFonts w:hint="eastAsia" w:ascii="仿宋" w:hAnsi="仿宋" w:eastAsia="仿宋" w:cs="仿宋"/>
                <w:sz w:val="24"/>
                <w:lang w:val="en-US" w:eastAsia="zh-CN"/>
              </w:rPr>
              <w:t>系统中</w:t>
            </w:r>
            <w:r>
              <w:rPr>
                <w:rFonts w:hint="eastAsia" w:ascii="仿宋" w:hAnsi="仿宋" w:eastAsia="仿宋" w:cs="仿宋"/>
                <w:bCs/>
                <w:sz w:val="24"/>
              </w:rPr>
              <w:t>数据丢失，协助客户系统维护人员恢复数据。</w:t>
            </w:r>
          </w:p>
        </w:tc>
        <w:tc>
          <w:tcPr>
            <w:tcW w:w="1843" w:type="dxa"/>
            <w:tcBorders>
              <w:top w:val="single" w:color="auto" w:sz="4" w:space="0"/>
              <w:left w:val="single" w:color="auto" w:sz="4" w:space="0"/>
              <w:bottom w:val="single" w:color="auto" w:sz="4" w:space="0"/>
              <w:right w:val="single" w:color="auto" w:sz="4" w:space="0"/>
            </w:tcBorders>
            <w:vAlign w:val="center"/>
          </w:tcPr>
          <w:p w14:paraId="7AA42EE5">
            <w:pPr>
              <w:widowControl/>
              <w:spacing w:line="360" w:lineRule="auto"/>
              <w:jc w:val="left"/>
              <w:rPr>
                <w:rFonts w:hint="eastAsia" w:ascii="仿宋" w:hAnsi="仿宋" w:eastAsia="仿宋" w:cs="仿宋"/>
                <w:bCs/>
                <w:sz w:val="24"/>
              </w:rPr>
            </w:pPr>
            <w:r>
              <w:rPr>
                <w:rFonts w:hint="eastAsia" w:ascii="仿宋" w:hAnsi="仿宋" w:eastAsia="仿宋" w:cs="仿宋"/>
                <w:sz w:val="24"/>
              </w:rPr>
              <w:t>电话、电子邮箱、网络远程、QQ、现场</w:t>
            </w:r>
          </w:p>
        </w:tc>
        <w:tc>
          <w:tcPr>
            <w:tcW w:w="1275" w:type="dxa"/>
            <w:tcBorders>
              <w:top w:val="single" w:color="auto" w:sz="4" w:space="0"/>
              <w:left w:val="single" w:color="auto" w:sz="4" w:space="0"/>
              <w:bottom w:val="single" w:color="auto" w:sz="4" w:space="0"/>
              <w:right w:val="single" w:color="auto" w:sz="4" w:space="0"/>
            </w:tcBorders>
            <w:vAlign w:val="center"/>
          </w:tcPr>
          <w:p w14:paraId="178CE96B">
            <w:pPr>
              <w:widowControl/>
              <w:spacing w:line="360" w:lineRule="auto"/>
              <w:jc w:val="left"/>
              <w:rPr>
                <w:rFonts w:hint="eastAsia" w:ascii="仿宋" w:hAnsi="仿宋" w:eastAsia="仿宋" w:cs="仿宋"/>
                <w:bCs/>
                <w:sz w:val="24"/>
              </w:rPr>
            </w:pPr>
            <w:r>
              <w:rPr>
                <w:rFonts w:hint="eastAsia" w:ascii="仿宋" w:hAnsi="仿宋" w:eastAsia="仿宋" w:cs="仿宋"/>
                <w:sz w:val="24"/>
              </w:rPr>
              <w:t>2小时内响应</w:t>
            </w:r>
          </w:p>
        </w:tc>
      </w:tr>
      <w:tr w14:paraId="47308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03" w:type="dxa"/>
            <w:tcBorders>
              <w:top w:val="single" w:color="auto" w:sz="4" w:space="0"/>
              <w:left w:val="single" w:color="auto" w:sz="4" w:space="0"/>
              <w:bottom w:val="single" w:color="auto" w:sz="4" w:space="0"/>
              <w:right w:val="single" w:color="auto" w:sz="4" w:space="0"/>
            </w:tcBorders>
            <w:vAlign w:val="center"/>
          </w:tcPr>
          <w:p w14:paraId="0F071FF0">
            <w:pPr>
              <w:widowControl/>
              <w:spacing w:line="360" w:lineRule="auto"/>
              <w:jc w:val="left"/>
              <w:rPr>
                <w:rFonts w:hint="eastAsia" w:ascii="仿宋" w:hAnsi="仿宋" w:eastAsia="仿宋" w:cs="仿宋"/>
                <w:sz w:val="24"/>
              </w:rPr>
            </w:pPr>
            <w:r>
              <w:rPr>
                <w:rFonts w:hint="eastAsia" w:ascii="仿宋" w:hAnsi="仿宋" w:eastAsia="仿宋" w:cs="仿宋"/>
                <w:sz w:val="24"/>
              </w:rPr>
              <w:t>6</w:t>
            </w:r>
          </w:p>
        </w:tc>
        <w:tc>
          <w:tcPr>
            <w:tcW w:w="1134" w:type="dxa"/>
            <w:tcBorders>
              <w:top w:val="single" w:color="auto" w:sz="4" w:space="0"/>
              <w:left w:val="single" w:color="auto" w:sz="4" w:space="0"/>
              <w:bottom w:val="single" w:color="auto" w:sz="4" w:space="0"/>
              <w:right w:val="single" w:color="auto" w:sz="4" w:space="0"/>
            </w:tcBorders>
            <w:vAlign w:val="center"/>
          </w:tcPr>
          <w:p w14:paraId="50F2429D">
            <w:pPr>
              <w:widowControl/>
              <w:spacing w:line="360" w:lineRule="auto"/>
              <w:jc w:val="left"/>
              <w:rPr>
                <w:rFonts w:hint="eastAsia" w:ascii="仿宋" w:hAnsi="仿宋" w:eastAsia="仿宋" w:cs="仿宋"/>
                <w:sz w:val="24"/>
              </w:rPr>
            </w:pPr>
            <w:r>
              <w:rPr>
                <w:rFonts w:hint="eastAsia" w:ascii="仿宋" w:hAnsi="仿宋" w:eastAsia="仿宋" w:cs="仿宋"/>
                <w:sz w:val="24"/>
              </w:rPr>
              <w:t>数据调整</w:t>
            </w:r>
          </w:p>
        </w:tc>
        <w:tc>
          <w:tcPr>
            <w:tcW w:w="4029" w:type="dxa"/>
            <w:tcBorders>
              <w:top w:val="single" w:color="auto" w:sz="4" w:space="0"/>
              <w:left w:val="single" w:color="auto" w:sz="4" w:space="0"/>
              <w:bottom w:val="single" w:color="auto" w:sz="4" w:space="0"/>
              <w:right w:val="single" w:color="auto" w:sz="4" w:space="0"/>
            </w:tcBorders>
            <w:vAlign w:val="center"/>
          </w:tcPr>
          <w:p w14:paraId="6A1964E8">
            <w:pPr>
              <w:widowControl/>
              <w:spacing w:line="360" w:lineRule="auto"/>
              <w:jc w:val="left"/>
              <w:rPr>
                <w:rFonts w:hint="eastAsia" w:ascii="仿宋" w:hAnsi="仿宋" w:eastAsia="仿宋" w:cs="仿宋"/>
                <w:sz w:val="24"/>
              </w:rPr>
            </w:pPr>
            <w:r>
              <w:rPr>
                <w:rFonts w:hint="eastAsia" w:ascii="仿宋" w:hAnsi="仿宋" w:eastAsia="仿宋" w:cs="仿宋"/>
                <w:sz w:val="24"/>
              </w:rPr>
              <w:t>因客户操作不当或其它原因造成患者数据出现部分或全部错误，协助客户系统维护人员进行数据调整。</w:t>
            </w:r>
          </w:p>
        </w:tc>
        <w:tc>
          <w:tcPr>
            <w:tcW w:w="1843" w:type="dxa"/>
            <w:tcBorders>
              <w:top w:val="single" w:color="auto" w:sz="4" w:space="0"/>
              <w:left w:val="single" w:color="auto" w:sz="4" w:space="0"/>
              <w:bottom w:val="single" w:color="auto" w:sz="4" w:space="0"/>
              <w:right w:val="single" w:color="auto" w:sz="4" w:space="0"/>
            </w:tcBorders>
            <w:vAlign w:val="center"/>
          </w:tcPr>
          <w:p w14:paraId="52984F1D">
            <w:pPr>
              <w:widowControl/>
              <w:spacing w:line="360" w:lineRule="auto"/>
              <w:jc w:val="left"/>
              <w:rPr>
                <w:rFonts w:hint="eastAsia" w:ascii="仿宋" w:hAnsi="仿宋" w:eastAsia="仿宋" w:cs="仿宋"/>
                <w:sz w:val="24"/>
              </w:rPr>
            </w:pPr>
            <w:r>
              <w:rPr>
                <w:rFonts w:hint="eastAsia" w:ascii="仿宋" w:hAnsi="仿宋" w:eastAsia="仿宋" w:cs="仿宋"/>
                <w:sz w:val="24"/>
              </w:rPr>
              <w:t>电话、电子邮箱、网络远程、QQ、现场</w:t>
            </w:r>
          </w:p>
        </w:tc>
        <w:tc>
          <w:tcPr>
            <w:tcW w:w="1275" w:type="dxa"/>
            <w:tcBorders>
              <w:top w:val="single" w:color="auto" w:sz="4" w:space="0"/>
              <w:left w:val="single" w:color="auto" w:sz="4" w:space="0"/>
              <w:bottom w:val="single" w:color="auto" w:sz="4" w:space="0"/>
              <w:right w:val="single" w:color="auto" w:sz="4" w:space="0"/>
            </w:tcBorders>
            <w:vAlign w:val="center"/>
          </w:tcPr>
          <w:p w14:paraId="00D6D18B">
            <w:pPr>
              <w:widowControl/>
              <w:spacing w:line="360" w:lineRule="auto"/>
              <w:jc w:val="left"/>
              <w:rPr>
                <w:rFonts w:hint="eastAsia" w:ascii="仿宋" w:hAnsi="仿宋" w:eastAsia="仿宋" w:cs="仿宋"/>
                <w:bCs/>
                <w:sz w:val="24"/>
              </w:rPr>
            </w:pPr>
            <w:r>
              <w:rPr>
                <w:rFonts w:hint="eastAsia" w:ascii="仿宋" w:hAnsi="仿宋" w:eastAsia="仿宋" w:cs="仿宋"/>
                <w:sz w:val="24"/>
              </w:rPr>
              <w:t>12小时内响应</w:t>
            </w:r>
          </w:p>
        </w:tc>
      </w:tr>
      <w:tr w14:paraId="3D41C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03" w:type="dxa"/>
            <w:tcBorders>
              <w:top w:val="single" w:color="auto" w:sz="4" w:space="0"/>
              <w:left w:val="single" w:color="auto" w:sz="4" w:space="0"/>
              <w:bottom w:val="single" w:color="auto" w:sz="4" w:space="0"/>
              <w:right w:val="single" w:color="auto" w:sz="4" w:space="0"/>
            </w:tcBorders>
            <w:vAlign w:val="center"/>
          </w:tcPr>
          <w:p w14:paraId="67224AA9">
            <w:pPr>
              <w:widowControl/>
              <w:spacing w:line="360" w:lineRule="auto"/>
              <w:jc w:val="left"/>
              <w:rPr>
                <w:rFonts w:hint="eastAsia" w:ascii="仿宋" w:hAnsi="仿宋" w:eastAsia="仿宋" w:cs="仿宋"/>
                <w:sz w:val="24"/>
              </w:rPr>
            </w:pPr>
            <w:r>
              <w:rPr>
                <w:rFonts w:hint="eastAsia" w:ascii="仿宋" w:hAnsi="仿宋" w:eastAsia="仿宋" w:cs="仿宋"/>
                <w:sz w:val="24"/>
              </w:rPr>
              <w:t>7</w:t>
            </w:r>
          </w:p>
        </w:tc>
        <w:tc>
          <w:tcPr>
            <w:tcW w:w="1134" w:type="dxa"/>
            <w:tcBorders>
              <w:top w:val="single" w:color="auto" w:sz="4" w:space="0"/>
              <w:left w:val="single" w:color="auto" w:sz="4" w:space="0"/>
              <w:bottom w:val="single" w:color="auto" w:sz="4" w:space="0"/>
              <w:right w:val="single" w:color="auto" w:sz="4" w:space="0"/>
            </w:tcBorders>
            <w:vAlign w:val="center"/>
          </w:tcPr>
          <w:p w14:paraId="2F625981">
            <w:pPr>
              <w:widowControl/>
              <w:spacing w:line="360" w:lineRule="auto"/>
              <w:jc w:val="left"/>
              <w:rPr>
                <w:rFonts w:hint="eastAsia" w:ascii="仿宋" w:hAnsi="仿宋" w:eastAsia="仿宋" w:cs="仿宋"/>
                <w:sz w:val="24"/>
              </w:rPr>
            </w:pPr>
            <w:r>
              <w:rPr>
                <w:rFonts w:hint="eastAsia" w:ascii="仿宋" w:hAnsi="仿宋" w:eastAsia="仿宋" w:cs="仿宋"/>
                <w:sz w:val="24"/>
              </w:rPr>
              <w:t>特殊服务</w:t>
            </w:r>
          </w:p>
        </w:tc>
        <w:tc>
          <w:tcPr>
            <w:tcW w:w="4029" w:type="dxa"/>
            <w:tcBorders>
              <w:top w:val="single" w:color="auto" w:sz="4" w:space="0"/>
              <w:left w:val="single" w:color="auto" w:sz="4" w:space="0"/>
              <w:bottom w:val="single" w:color="auto" w:sz="4" w:space="0"/>
              <w:right w:val="single" w:color="auto" w:sz="4" w:space="0"/>
            </w:tcBorders>
            <w:vAlign w:val="center"/>
          </w:tcPr>
          <w:p w14:paraId="1FA7E59E">
            <w:pPr>
              <w:widowControl/>
              <w:spacing w:line="360" w:lineRule="auto"/>
              <w:jc w:val="left"/>
              <w:rPr>
                <w:rFonts w:hint="eastAsia" w:ascii="仿宋" w:hAnsi="仿宋" w:eastAsia="仿宋" w:cs="仿宋"/>
                <w:sz w:val="24"/>
              </w:rPr>
            </w:pPr>
            <w:r>
              <w:rPr>
                <w:rFonts w:hint="eastAsia" w:ascii="仿宋" w:hAnsi="仿宋" w:eastAsia="仿宋" w:cs="仿宋"/>
                <w:sz w:val="24"/>
              </w:rPr>
              <w:t>系统灾难发生时，乙方承诺立即响应，减少数据损失，降低灾难对整个系统正常运行的影响。</w:t>
            </w:r>
          </w:p>
        </w:tc>
        <w:tc>
          <w:tcPr>
            <w:tcW w:w="1843" w:type="dxa"/>
            <w:tcBorders>
              <w:top w:val="single" w:color="auto" w:sz="4" w:space="0"/>
              <w:left w:val="single" w:color="auto" w:sz="4" w:space="0"/>
              <w:bottom w:val="single" w:color="auto" w:sz="4" w:space="0"/>
              <w:right w:val="single" w:color="auto" w:sz="4" w:space="0"/>
            </w:tcBorders>
            <w:vAlign w:val="center"/>
          </w:tcPr>
          <w:p w14:paraId="4006AA7C">
            <w:pPr>
              <w:widowControl/>
              <w:spacing w:line="360" w:lineRule="auto"/>
              <w:jc w:val="left"/>
              <w:rPr>
                <w:rFonts w:hint="eastAsia" w:ascii="仿宋" w:hAnsi="仿宋" w:eastAsia="仿宋" w:cs="仿宋"/>
                <w:sz w:val="24"/>
              </w:rPr>
            </w:pPr>
            <w:r>
              <w:rPr>
                <w:rFonts w:hint="eastAsia" w:ascii="仿宋" w:hAnsi="仿宋" w:eastAsia="仿宋" w:cs="仿宋"/>
                <w:sz w:val="24"/>
              </w:rPr>
              <w:t>电话、电子邮箱、网络远程、QQ、现场</w:t>
            </w:r>
          </w:p>
        </w:tc>
        <w:tc>
          <w:tcPr>
            <w:tcW w:w="1275" w:type="dxa"/>
            <w:tcBorders>
              <w:top w:val="single" w:color="auto" w:sz="4" w:space="0"/>
              <w:left w:val="single" w:color="auto" w:sz="4" w:space="0"/>
              <w:bottom w:val="single" w:color="auto" w:sz="4" w:space="0"/>
              <w:right w:val="single" w:color="auto" w:sz="4" w:space="0"/>
            </w:tcBorders>
            <w:vAlign w:val="center"/>
          </w:tcPr>
          <w:p w14:paraId="147B1998">
            <w:pPr>
              <w:widowControl/>
              <w:spacing w:line="360" w:lineRule="auto"/>
              <w:jc w:val="left"/>
              <w:rPr>
                <w:rFonts w:hint="eastAsia" w:ascii="仿宋" w:hAnsi="仿宋" w:eastAsia="仿宋" w:cs="仿宋"/>
                <w:sz w:val="24"/>
              </w:rPr>
            </w:pPr>
            <w:r>
              <w:rPr>
                <w:rFonts w:hint="eastAsia" w:ascii="仿宋" w:hAnsi="仿宋" w:eastAsia="仿宋" w:cs="仿宋"/>
                <w:sz w:val="24"/>
              </w:rPr>
              <w:t>立即响应</w:t>
            </w:r>
          </w:p>
        </w:tc>
      </w:tr>
      <w:tr w14:paraId="13C9A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03" w:type="dxa"/>
            <w:tcBorders>
              <w:top w:val="single" w:color="auto" w:sz="4" w:space="0"/>
              <w:left w:val="single" w:color="auto" w:sz="4" w:space="0"/>
              <w:bottom w:val="single" w:color="auto" w:sz="4" w:space="0"/>
              <w:right w:val="single" w:color="auto" w:sz="4" w:space="0"/>
            </w:tcBorders>
            <w:vAlign w:val="center"/>
          </w:tcPr>
          <w:p w14:paraId="50E20CFA">
            <w:pPr>
              <w:widowControl/>
              <w:spacing w:line="360" w:lineRule="auto"/>
              <w:jc w:val="left"/>
              <w:rPr>
                <w:rFonts w:hint="eastAsia" w:ascii="仿宋" w:hAnsi="仿宋" w:eastAsia="仿宋" w:cs="仿宋"/>
                <w:sz w:val="24"/>
              </w:rPr>
            </w:pPr>
            <w:r>
              <w:rPr>
                <w:rFonts w:hint="eastAsia" w:ascii="仿宋" w:hAnsi="仿宋" w:eastAsia="仿宋" w:cs="仿宋"/>
                <w:sz w:val="24"/>
              </w:rPr>
              <w:t>8</w:t>
            </w:r>
          </w:p>
        </w:tc>
        <w:tc>
          <w:tcPr>
            <w:tcW w:w="1134" w:type="dxa"/>
            <w:tcBorders>
              <w:top w:val="single" w:color="auto" w:sz="4" w:space="0"/>
              <w:left w:val="single" w:color="auto" w:sz="4" w:space="0"/>
              <w:bottom w:val="single" w:color="auto" w:sz="4" w:space="0"/>
              <w:right w:val="single" w:color="auto" w:sz="4" w:space="0"/>
            </w:tcBorders>
            <w:vAlign w:val="center"/>
          </w:tcPr>
          <w:p w14:paraId="723EC532">
            <w:pPr>
              <w:widowControl/>
              <w:spacing w:line="360" w:lineRule="auto"/>
              <w:jc w:val="left"/>
              <w:rPr>
                <w:rFonts w:hint="eastAsia" w:ascii="仿宋" w:hAnsi="仿宋" w:eastAsia="仿宋" w:cs="仿宋"/>
                <w:bCs/>
                <w:sz w:val="24"/>
              </w:rPr>
            </w:pPr>
            <w:r>
              <w:rPr>
                <w:rFonts w:hint="eastAsia" w:ascii="仿宋" w:hAnsi="仿宋" w:eastAsia="仿宋" w:cs="仿宋"/>
                <w:bCs/>
                <w:sz w:val="24"/>
              </w:rPr>
              <w:t>维护培训</w:t>
            </w:r>
          </w:p>
        </w:tc>
        <w:tc>
          <w:tcPr>
            <w:tcW w:w="4029" w:type="dxa"/>
            <w:tcBorders>
              <w:top w:val="single" w:color="auto" w:sz="4" w:space="0"/>
              <w:left w:val="single" w:color="auto" w:sz="4" w:space="0"/>
              <w:bottom w:val="single" w:color="auto" w:sz="4" w:space="0"/>
              <w:right w:val="single" w:color="auto" w:sz="4" w:space="0"/>
            </w:tcBorders>
            <w:vAlign w:val="center"/>
          </w:tcPr>
          <w:p w14:paraId="787CAB96">
            <w:pPr>
              <w:widowControl/>
              <w:spacing w:line="360" w:lineRule="auto"/>
              <w:jc w:val="left"/>
              <w:rPr>
                <w:rFonts w:hint="eastAsia" w:ascii="仿宋" w:hAnsi="仿宋" w:eastAsia="仿宋" w:cs="仿宋"/>
                <w:b/>
                <w:bCs/>
                <w:sz w:val="24"/>
              </w:rPr>
            </w:pPr>
            <w:r>
              <w:rPr>
                <w:rFonts w:hint="eastAsia" w:ascii="仿宋" w:hAnsi="仿宋" w:eastAsia="仿宋" w:cs="仿宋"/>
                <w:sz w:val="24"/>
              </w:rPr>
              <w:t>因客户人员离职或岗位调动需要进行培训的系统维护人员。</w:t>
            </w:r>
          </w:p>
        </w:tc>
        <w:tc>
          <w:tcPr>
            <w:tcW w:w="1843" w:type="dxa"/>
            <w:tcBorders>
              <w:top w:val="single" w:color="auto" w:sz="4" w:space="0"/>
              <w:left w:val="single" w:color="auto" w:sz="4" w:space="0"/>
              <w:bottom w:val="single" w:color="auto" w:sz="4" w:space="0"/>
              <w:right w:val="single" w:color="auto" w:sz="4" w:space="0"/>
            </w:tcBorders>
            <w:vAlign w:val="center"/>
          </w:tcPr>
          <w:p w14:paraId="3D8C290E">
            <w:pPr>
              <w:widowControl/>
              <w:spacing w:line="360" w:lineRule="auto"/>
              <w:jc w:val="left"/>
              <w:rPr>
                <w:rFonts w:hint="eastAsia" w:ascii="仿宋" w:hAnsi="仿宋" w:eastAsia="仿宋" w:cs="仿宋"/>
                <w:sz w:val="24"/>
              </w:rPr>
            </w:pPr>
            <w:r>
              <w:rPr>
                <w:rFonts w:hint="eastAsia" w:ascii="仿宋" w:hAnsi="仿宋" w:eastAsia="仿宋" w:cs="仿宋"/>
                <w:sz w:val="24"/>
              </w:rPr>
              <w:t>乙方指定地点或客户所在地进行培训</w:t>
            </w:r>
          </w:p>
        </w:tc>
        <w:tc>
          <w:tcPr>
            <w:tcW w:w="1275" w:type="dxa"/>
            <w:tcBorders>
              <w:top w:val="single" w:color="auto" w:sz="4" w:space="0"/>
              <w:left w:val="single" w:color="auto" w:sz="4" w:space="0"/>
              <w:bottom w:val="single" w:color="auto" w:sz="4" w:space="0"/>
              <w:right w:val="single" w:color="auto" w:sz="4" w:space="0"/>
            </w:tcBorders>
            <w:vAlign w:val="center"/>
          </w:tcPr>
          <w:p w14:paraId="7B643216">
            <w:pPr>
              <w:widowControl/>
              <w:spacing w:line="360" w:lineRule="auto"/>
              <w:jc w:val="left"/>
              <w:rPr>
                <w:rFonts w:hint="eastAsia" w:ascii="仿宋" w:hAnsi="仿宋" w:eastAsia="仿宋" w:cs="仿宋"/>
                <w:sz w:val="24"/>
              </w:rPr>
            </w:pPr>
            <w:r>
              <w:rPr>
                <w:rFonts w:hint="eastAsia" w:ascii="仿宋" w:hAnsi="仿宋" w:eastAsia="仿宋" w:cs="仿宋"/>
                <w:sz w:val="24"/>
              </w:rPr>
              <w:t>法定工作日预约</w:t>
            </w:r>
          </w:p>
        </w:tc>
      </w:tr>
      <w:tr w14:paraId="3CC0D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trPr>
        <w:tc>
          <w:tcPr>
            <w:tcW w:w="503" w:type="dxa"/>
            <w:tcBorders>
              <w:top w:val="single" w:color="auto" w:sz="4" w:space="0"/>
              <w:left w:val="single" w:color="auto" w:sz="4" w:space="0"/>
              <w:bottom w:val="single" w:color="auto" w:sz="4" w:space="0"/>
              <w:right w:val="single" w:color="auto" w:sz="4" w:space="0"/>
            </w:tcBorders>
            <w:vAlign w:val="center"/>
          </w:tcPr>
          <w:p w14:paraId="52E735ED">
            <w:pPr>
              <w:widowControl/>
              <w:spacing w:line="360" w:lineRule="auto"/>
              <w:jc w:val="left"/>
              <w:rPr>
                <w:rFonts w:hint="eastAsia" w:ascii="仿宋" w:hAnsi="仿宋" w:eastAsia="仿宋" w:cs="仿宋"/>
                <w:sz w:val="24"/>
              </w:rPr>
            </w:pPr>
            <w:r>
              <w:rPr>
                <w:rFonts w:hint="eastAsia" w:ascii="仿宋" w:hAnsi="仿宋" w:eastAsia="仿宋" w:cs="仿宋"/>
                <w:sz w:val="24"/>
              </w:rPr>
              <w:t>9</w:t>
            </w:r>
          </w:p>
        </w:tc>
        <w:tc>
          <w:tcPr>
            <w:tcW w:w="1134" w:type="dxa"/>
            <w:tcBorders>
              <w:top w:val="single" w:color="auto" w:sz="4" w:space="0"/>
              <w:left w:val="single" w:color="auto" w:sz="4" w:space="0"/>
              <w:bottom w:val="single" w:color="auto" w:sz="4" w:space="0"/>
              <w:right w:val="single" w:color="auto" w:sz="4" w:space="0"/>
            </w:tcBorders>
            <w:vAlign w:val="center"/>
          </w:tcPr>
          <w:p w14:paraId="77A10AEF">
            <w:pPr>
              <w:widowControl/>
              <w:spacing w:line="360" w:lineRule="auto"/>
              <w:jc w:val="left"/>
              <w:rPr>
                <w:rFonts w:hint="eastAsia" w:ascii="仿宋" w:hAnsi="仿宋" w:eastAsia="仿宋" w:cs="仿宋"/>
                <w:bCs/>
                <w:sz w:val="24"/>
              </w:rPr>
            </w:pPr>
            <w:r>
              <w:rPr>
                <w:rFonts w:hint="eastAsia" w:ascii="仿宋" w:hAnsi="仿宋" w:eastAsia="仿宋" w:cs="仿宋"/>
                <w:bCs/>
                <w:sz w:val="24"/>
              </w:rPr>
              <w:t>巡检服务</w:t>
            </w:r>
          </w:p>
        </w:tc>
        <w:tc>
          <w:tcPr>
            <w:tcW w:w="4029" w:type="dxa"/>
            <w:tcBorders>
              <w:top w:val="single" w:color="auto" w:sz="4" w:space="0"/>
              <w:left w:val="single" w:color="auto" w:sz="4" w:space="0"/>
              <w:bottom w:val="single" w:color="auto" w:sz="4" w:space="0"/>
              <w:right w:val="single" w:color="auto" w:sz="4" w:space="0"/>
            </w:tcBorders>
            <w:vAlign w:val="center"/>
          </w:tcPr>
          <w:p w14:paraId="24172C3C">
            <w:pPr>
              <w:widowControl/>
              <w:spacing w:line="360" w:lineRule="auto"/>
              <w:jc w:val="left"/>
              <w:rPr>
                <w:rFonts w:hint="eastAsia" w:ascii="仿宋" w:hAnsi="仿宋" w:eastAsia="仿宋" w:cs="仿宋"/>
                <w:sz w:val="24"/>
              </w:rPr>
            </w:pPr>
            <w:r>
              <w:rPr>
                <w:rFonts w:hint="eastAsia" w:ascii="仿宋" w:hAnsi="仿宋" w:eastAsia="仿宋" w:cs="仿宋"/>
                <w:sz w:val="24"/>
              </w:rPr>
              <w:t>到客户现场检查系统模块运行情况，与客户维护人员沟通，提供常见问题的解决办法，巡检结束后给客户提供巡检报告。</w:t>
            </w:r>
          </w:p>
        </w:tc>
        <w:tc>
          <w:tcPr>
            <w:tcW w:w="1843" w:type="dxa"/>
            <w:tcBorders>
              <w:top w:val="single" w:color="auto" w:sz="4" w:space="0"/>
              <w:left w:val="single" w:color="auto" w:sz="4" w:space="0"/>
              <w:bottom w:val="single" w:color="auto" w:sz="4" w:space="0"/>
              <w:right w:val="single" w:color="auto" w:sz="4" w:space="0"/>
            </w:tcBorders>
            <w:vAlign w:val="center"/>
          </w:tcPr>
          <w:p w14:paraId="305FE589">
            <w:pPr>
              <w:widowControl/>
              <w:spacing w:line="360" w:lineRule="auto"/>
              <w:jc w:val="left"/>
              <w:rPr>
                <w:rFonts w:hint="eastAsia" w:ascii="仿宋" w:hAnsi="仿宋" w:eastAsia="仿宋" w:cs="仿宋"/>
                <w:sz w:val="24"/>
              </w:rPr>
            </w:pPr>
            <w:r>
              <w:rPr>
                <w:rFonts w:hint="eastAsia" w:ascii="仿宋" w:hAnsi="仿宋" w:eastAsia="仿宋" w:cs="仿宋"/>
                <w:sz w:val="24"/>
              </w:rPr>
              <w:t>每年2次、客户现场或远程</w:t>
            </w:r>
          </w:p>
        </w:tc>
        <w:tc>
          <w:tcPr>
            <w:tcW w:w="1275" w:type="dxa"/>
            <w:tcBorders>
              <w:top w:val="single" w:color="auto" w:sz="4" w:space="0"/>
              <w:left w:val="single" w:color="auto" w:sz="4" w:space="0"/>
              <w:bottom w:val="single" w:color="auto" w:sz="4" w:space="0"/>
              <w:right w:val="single" w:color="auto" w:sz="4" w:space="0"/>
            </w:tcBorders>
            <w:vAlign w:val="center"/>
          </w:tcPr>
          <w:p w14:paraId="29A18A03">
            <w:pPr>
              <w:widowControl/>
              <w:spacing w:line="360" w:lineRule="auto"/>
              <w:jc w:val="left"/>
              <w:rPr>
                <w:rFonts w:hint="eastAsia" w:ascii="仿宋" w:hAnsi="仿宋" w:eastAsia="仿宋" w:cs="仿宋"/>
                <w:sz w:val="24"/>
              </w:rPr>
            </w:pPr>
            <w:r>
              <w:rPr>
                <w:rFonts w:hint="eastAsia" w:ascii="仿宋" w:hAnsi="仿宋" w:eastAsia="仿宋" w:cs="仿宋"/>
                <w:sz w:val="24"/>
              </w:rPr>
              <w:t>法定工作日预约</w:t>
            </w:r>
          </w:p>
        </w:tc>
      </w:tr>
    </w:tbl>
    <w:p w14:paraId="09B52147">
      <w:pPr>
        <w:widowControl/>
        <w:spacing w:line="360" w:lineRule="auto"/>
        <w:ind w:firstLine="480" w:firstLineChars="200"/>
        <w:jc w:val="left"/>
        <w:rPr>
          <w:rFonts w:hint="eastAsia" w:ascii="仿宋" w:hAnsi="仿宋" w:eastAsia="仿宋" w:cs="仿宋"/>
          <w:sz w:val="24"/>
        </w:rPr>
      </w:pPr>
    </w:p>
    <w:p w14:paraId="335E7166">
      <w:pPr>
        <w:pStyle w:val="3"/>
        <w:numPr>
          <w:ilvl w:val="0"/>
          <w:numId w:val="2"/>
        </w:numPr>
        <w:snapToGrid w:val="0"/>
        <w:spacing w:before="0" w:after="0" w:line="360" w:lineRule="auto"/>
        <w:ind w:firstLine="641" w:firstLineChars="0"/>
        <w:jc w:val="left"/>
        <w:rPr>
          <w:rFonts w:hint="eastAsia" w:ascii="仿宋" w:hAnsi="仿宋" w:eastAsia="仿宋" w:cs="仿宋"/>
          <w:b/>
          <w:bCs w:val="0"/>
          <w:sz w:val="24"/>
          <w:szCs w:val="24"/>
          <w:lang w:val="zh-CN"/>
        </w:rPr>
      </w:pPr>
      <w:r>
        <w:rPr>
          <w:rFonts w:hint="eastAsia" w:ascii="仿宋" w:hAnsi="仿宋" w:eastAsia="仿宋" w:cs="仿宋"/>
          <w:b/>
          <w:bCs w:val="0"/>
          <w:sz w:val="24"/>
          <w:szCs w:val="24"/>
        </w:rPr>
        <w:t>服务方式</w:t>
      </w:r>
    </w:p>
    <w:p w14:paraId="2E2826F8">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甲方可获得乙方7*24小时的技术支持中心客户热线电话、传真、EMAIL、在线支持以及现场服务，解答软件系统应用中的各种问题。</w:t>
      </w:r>
    </w:p>
    <w:tbl>
      <w:tblPr>
        <w:tblStyle w:val="10"/>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1667"/>
        <w:gridCol w:w="4041"/>
      </w:tblGrid>
      <w:tr w14:paraId="74F00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695" w:type="dxa"/>
          </w:tcPr>
          <w:p w14:paraId="2F63095D">
            <w:pPr>
              <w:shd w:val="clear"/>
              <w:spacing w:line="360" w:lineRule="auto"/>
              <w:rPr>
                <w:rFonts w:hint="eastAsia" w:ascii="仿宋" w:hAnsi="仿宋" w:eastAsia="仿宋" w:cs="仿宋"/>
                <w:kern w:val="0"/>
                <w:sz w:val="24"/>
              </w:rPr>
            </w:pPr>
            <w:r>
              <w:rPr>
                <w:rFonts w:hint="eastAsia" w:ascii="仿宋" w:hAnsi="仿宋" w:eastAsia="仿宋" w:cs="仿宋"/>
                <w:kern w:val="0"/>
                <w:sz w:val="24"/>
              </w:rPr>
              <w:t>错误报告类别</w:t>
            </w:r>
          </w:p>
        </w:tc>
        <w:tc>
          <w:tcPr>
            <w:tcW w:w="1667" w:type="dxa"/>
          </w:tcPr>
          <w:p w14:paraId="3058DF3B">
            <w:pPr>
              <w:shd w:val="clear"/>
              <w:spacing w:line="360" w:lineRule="auto"/>
              <w:rPr>
                <w:rFonts w:hint="eastAsia" w:ascii="仿宋" w:hAnsi="仿宋" w:eastAsia="仿宋" w:cs="仿宋"/>
                <w:kern w:val="0"/>
                <w:sz w:val="24"/>
              </w:rPr>
            </w:pPr>
            <w:r>
              <w:rPr>
                <w:rFonts w:hint="eastAsia" w:ascii="仿宋" w:hAnsi="仿宋" w:eastAsia="仿宋" w:cs="仿宋"/>
                <w:kern w:val="0"/>
                <w:sz w:val="24"/>
              </w:rPr>
              <w:t>响应时间</w:t>
            </w:r>
          </w:p>
        </w:tc>
        <w:tc>
          <w:tcPr>
            <w:tcW w:w="4041" w:type="dxa"/>
          </w:tcPr>
          <w:p w14:paraId="2676236F">
            <w:pPr>
              <w:shd w:val="clear"/>
              <w:spacing w:line="360" w:lineRule="auto"/>
              <w:rPr>
                <w:rFonts w:hint="eastAsia" w:ascii="仿宋" w:hAnsi="仿宋" w:eastAsia="仿宋" w:cs="仿宋"/>
                <w:kern w:val="0"/>
                <w:sz w:val="24"/>
              </w:rPr>
            </w:pPr>
            <w:r>
              <w:rPr>
                <w:rFonts w:hint="eastAsia" w:ascii="仿宋" w:hAnsi="仿宋" w:eastAsia="仿宋" w:cs="仿宋"/>
                <w:kern w:val="0"/>
                <w:sz w:val="24"/>
              </w:rPr>
              <w:t>解决办法</w:t>
            </w:r>
          </w:p>
        </w:tc>
      </w:tr>
      <w:tr w14:paraId="5572D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695" w:type="dxa"/>
          </w:tcPr>
          <w:p w14:paraId="7099614D">
            <w:pPr>
              <w:shd w:val="clear"/>
              <w:spacing w:line="360" w:lineRule="auto"/>
              <w:rPr>
                <w:rFonts w:hint="eastAsia" w:ascii="仿宋" w:hAnsi="仿宋" w:eastAsia="仿宋" w:cs="仿宋"/>
                <w:kern w:val="0"/>
                <w:sz w:val="24"/>
              </w:rPr>
            </w:pPr>
            <w:r>
              <w:rPr>
                <w:rFonts w:hint="eastAsia" w:ascii="仿宋" w:hAnsi="仿宋" w:eastAsia="仿宋" w:cs="仿宋"/>
                <w:kern w:val="0"/>
                <w:sz w:val="24"/>
              </w:rPr>
              <w:t>致命错误（Fatal）</w:t>
            </w:r>
          </w:p>
        </w:tc>
        <w:tc>
          <w:tcPr>
            <w:tcW w:w="1667" w:type="dxa"/>
          </w:tcPr>
          <w:p w14:paraId="746DD979">
            <w:pPr>
              <w:shd w:val="clear"/>
              <w:spacing w:line="360" w:lineRule="auto"/>
              <w:rPr>
                <w:rFonts w:hint="eastAsia" w:ascii="仿宋" w:hAnsi="仿宋" w:eastAsia="仿宋" w:cs="仿宋"/>
                <w:kern w:val="0"/>
                <w:sz w:val="24"/>
              </w:rPr>
            </w:pPr>
            <w:r>
              <w:rPr>
                <w:rFonts w:hint="eastAsia" w:ascii="仿宋" w:hAnsi="仿宋" w:eastAsia="仿宋" w:cs="仿宋"/>
                <w:kern w:val="0"/>
                <w:sz w:val="24"/>
              </w:rPr>
              <w:t>1个小时</w:t>
            </w:r>
          </w:p>
        </w:tc>
        <w:tc>
          <w:tcPr>
            <w:tcW w:w="4041" w:type="dxa"/>
          </w:tcPr>
          <w:p w14:paraId="065A1646">
            <w:pPr>
              <w:shd w:val="clear"/>
              <w:spacing w:line="360" w:lineRule="auto"/>
              <w:rPr>
                <w:rFonts w:hint="eastAsia" w:ascii="仿宋" w:hAnsi="仿宋" w:eastAsia="仿宋" w:cs="仿宋"/>
                <w:kern w:val="0"/>
                <w:sz w:val="24"/>
              </w:rPr>
            </w:pPr>
            <w:r>
              <w:rPr>
                <w:rFonts w:hint="eastAsia" w:ascii="仿宋" w:hAnsi="仿宋" w:eastAsia="仿宋" w:cs="仿宋"/>
                <w:kern w:val="0"/>
                <w:sz w:val="24"/>
              </w:rPr>
              <w:t>研究解决方法并力争尽快解决，最长不得超过2个小时</w:t>
            </w:r>
          </w:p>
        </w:tc>
      </w:tr>
      <w:tr w14:paraId="180C1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695" w:type="dxa"/>
          </w:tcPr>
          <w:p w14:paraId="7DD9B65C">
            <w:pPr>
              <w:shd w:val="clear"/>
              <w:spacing w:line="360" w:lineRule="auto"/>
              <w:rPr>
                <w:rFonts w:hint="eastAsia" w:ascii="仿宋" w:hAnsi="仿宋" w:eastAsia="仿宋" w:cs="仿宋"/>
                <w:kern w:val="0"/>
                <w:sz w:val="24"/>
              </w:rPr>
            </w:pPr>
            <w:r>
              <w:rPr>
                <w:rFonts w:hint="eastAsia" w:ascii="仿宋" w:hAnsi="仿宋" w:eastAsia="仿宋" w:cs="仿宋"/>
                <w:kern w:val="0"/>
                <w:sz w:val="24"/>
              </w:rPr>
              <w:t>严重错误（Serious）</w:t>
            </w:r>
          </w:p>
        </w:tc>
        <w:tc>
          <w:tcPr>
            <w:tcW w:w="1667" w:type="dxa"/>
          </w:tcPr>
          <w:p w14:paraId="72C821A4">
            <w:pPr>
              <w:shd w:val="clear"/>
              <w:spacing w:line="360" w:lineRule="auto"/>
              <w:rPr>
                <w:rFonts w:hint="eastAsia" w:ascii="仿宋" w:hAnsi="仿宋" w:eastAsia="仿宋" w:cs="仿宋"/>
                <w:kern w:val="0"/>
                <w:sz w:val="24"/>
              </w:rPr>
            </w:pPr>
            <w:r>
              <w:rPr>
                <w:rFonts w:hint="eastAsia" w:ascii="仿宋" w:hAnsi="仿宋" w:eastAsia="仿宋" w:cs="仿宋"/>
                <w:kern w:val="0"/>
                <w:sz w:val="24"/>
              </w:rPr>
              <w:t>2个小时</w:t>
            </w:r>
          </w:p>
        </w:tc>
        <w:tc>
          <w:tcPr>
            <w:tcW w:w="4041" w:type="dxa"/>
          </w:tcPr>
          <w:p w14:paraId="55B5F43C">
            <w:pPr>
              <w:shd w:val="clear"/>
              <w:spacing w:line="360" w:lineRule="auto"/>
              <w:rPr>
                <w:rFonts w:hint="eastAsia" w:ascii="仿宋" w:hAnsi="仿宋" w:eastAsia="仿宋" w:cs="仿宋"/>
                <w:kern w:val="0"/>
                <w:sz w:val="24"/>
              </w:rPr>
            </w:pPr>
            <w:r>
              <w:rPr>
                <w:rFonts w:hint="eastAsia" w:ascii="仿宋" w:hAnsi="仿宋" w:eastAsia="仿宋" w:cs="仿宋"/>
                <w:kern w:val="0"/>
                <w:sz w:val="24"/>
              </w:rPr>
              <w:t>尽快修正，或提交Service Pack</w:t>
            </w:r>
          </w:p>
        </w:tc>
      </w:tr>
      <w:tr w14:paraId="7D9BF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695" w:type="dxa"/>
          </w:tcPr>
          <w:p w14:paraId="07FF9F1B">
            <w:pPr>
              <w:shd w:val="clear"/>
              <w:spacing w:line="360" w:lineRule="auto"/>
              <w:rPr>
                <w:rFonts w:hint="eastAsia" w:ascii="仿宋" w:hAnsi="仿宋" w:eastAsia="仿宋" w:cs="仿宋"/>
                <w:kern w:val="0"/>
                <w:sz w:val="24"/>
              </w:rPr>
            </w:pPr>
            <w:r>
              <w:rPr>
                <w:rFonts w:hint="eastAsia" w:ascii="仿宋" w:hAnsi="仿宋" w:eastAsia="仿宋" w:cs="仿宋"/>
                <w:kern w:val="0"/>
                <w:sz w:val="24"/>
              </w:rPr>
              <w:t>一般错误（Minor）</w:t>
            </w:r>
          </w:p>
        </w:tc>
        <w:tc>
          <w:tcPr>
            <w:tcW w:w="1667" w:type="dxa"/>
          </w:tcPr>
          <w:p w14:paraId="542C8B02">
            <w:pPr>
              <w:shd w:val="clear"/>
              <w:spacing w:line="360" w:lineRule="auto"/>
              <w:rPr>
                <w:rFonts w:hint="eastAsia" w:ascii="仿宋" w:hAnsi="仿宋" w:eastAsia="仿宋" w:cs="仿宋"/>
                <w:kern w:val="0"/>
                <w:sz w:val="24"/>
              </w:rPr>
            </w:pPr>
            <w:r>
              <w:rPr>
                <w:rFonts w:hint="eastAsia" w:ascii="仿宋" w:hAnsi="仿宋" w:eastAsia="仿宋" w:cs="仿宋"/>
                <w:kern w:val="0"/>
                <w:sz w:val="24"/>
              </w:rPr>
              <w:t>4个小时</w:t>
            </w:r>
          </w:p>
        </w:tc>
        <w:tc>
          <w:tcPr>
            <w:tcW w:w="4041" w:type="dxa"/>
          </w:tcPr>
          <w:p w14:paraId="66817CD0">
            <w:pPr>
              <w:shd w:val="clear"/>
              <w:spacing w:line="360" w:lineRule="auto"/>
              <w:rPr>
                <w:rFonts w:hint="eastAsia" w:ascii="仿宋" w:hAnsi="仿宋" w:eastAsia="仿宋" w:cs="仿宋"/>
                <w:kern w:val="0"/>
                <w:sz w:val="24"/>
              </w:rPr>
            </w:pPr>
            <w:r>
              <w:rPr>
                <w:rFonts w:hint="eastAsia" w:ascii="仿宋" w:hAnsi="仿宋" w:eastAsia="仿宋" w:cs="仿宋"/>
                <w:kern w:val="0"/>
                <w:sz w:val="24"/>
              </w:rPr>
              <w:t>以Service Pack修正</w:t>
            </w:r>
          </w:p>
        </w:tc>
      </w:tr>
    </w:tbl>
    <w:p w14:paraId="1204C937">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定义：</w:t>
      </w:r>
    </w:p>
    <w:p w14:paraId="3F4E8138">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致命错误——能够引起系统停机或中断的错误；</w:t>
      </w:r>
    </w:p>
    <w:p w14:paraId="35C19D3C">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严重错误——对系统运行有较大影响，但不致导致系统停机或无法使用的错误；</w:t>
      </w:r>
    </w:p>
    <w:p w14:paraId="465C3F54">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一般错误——对系统运行有影响，但不妨碍系统正常运行的错误；</w:t>
      </w:r>
    </w:p>
    <w:p w14:paraId="0156D951">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响应时间——自甲方向乙方发出书面报告错误之时起计。</w:t>
      </w:r>
    </w:p>
    <w:p w14:paraId="466DD005">
      <w:pPr>
        <w:pStyle w:val="2"/>
        <w:numPr>
          <w:ilvl w:val="0"/>
          <w:numId w:val="1"/>
        </w:numPr>
        <w:snapToGrid w:val="0"/>
        <w:spacing w:before="0" w:after="0" w:line="360" w:lineRule="auto"/>
        <w:jc w:val="left"/>
        <w:rPr>
          <w:rFonts w:hint="eastAsia" w:ascii="仿宋" w:hAnsi="仿宋" w:eastAsia="仿宋" w:cs="Times New Roman"/>
          <w:sz w:val="24"/>
          <w:szCs w:val="24"/>
          <w:lang w:val="zh-CN"/>
        </w:rPr>
      </w:pPr>
      <w:r>
        <w:rPr>
          <w:rFonts w:hint="eastAsia" w:ascii="仿宋" w:hAnsi="仿宋" w:eastAsia="仿宋" w:cs="Times New Roman"/>
          <w:sz w:val="24"/>
          <w:szCs w:val="24"/>
          <w:lang w:val="zh-CN"/>
        </w:rPr>
        <w:t>商务要求</w:t>
      </w:r>
    </w:p>
    <w:p w14:paraId="3D2AA62A">
      <w:pPr>
        <w:snapToGrid w:val="0"/>
        <w:spacing w:line="360" w:lineRule="auto"/>
        <w:ind w:firstLine="482" w:firstLineChars="200"/>
        <w:jc w:val="left"/>
        <w:outlineLvl w:val="2"/>
        <w:rPr>
          <w:rFonts w:hint="eastAsia" w:ascii="仿宋" w:hAnsi="仿宋" w:eastAsia="仿宋" w:cs="宋体"/>
          <w:b/>
          <w:bCs/>
          <w:color w:val="000000"/>
          <w:sz w:val="24"/>
          <w:szCs w:val="24"/>
        </w:rPr>
      </w:pPr>
      <w:r>
        <w:rPr>
          <w:rFonts w:hint="eastAsia" w:ascii="仿宋" w:hAnsi="仿宋" w:eastAsia="仿宋" w:cs="宋体"/>
          <w:b/>
          <w:bCs/>
          <w:color w:val="000000"/>
          <w:sz w:val="24"/>
          <w:szCs w:val="24"/>
        </w:rPr>
        <w:t>（一）项目提交物</w:t>
      </w:r>
    </w:p>
    <w:p w14:paraId="25A46B96">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服务期每三个月，乙方向甲方提交项目交付物，包括但不限于：巡检报告、系统应用效果评价报告（见附件1）、需求沟通会议纪要（如有）、需求变更改造清单（如有）、用户培训记录（如有）、系统调优记录（如有）。</w:t>
      </w:r>
    </w:p>
    <w:p w14:paraId="6B457714">
      <w:pPr>
        <w:snapToGrid w:val="0"/>
        <w:spacing w:line="360" w:lineRule="auto"/>
        <w:ind w:firstLine="482" w:firstLineChars="200"/>
        <w:jc w:val="left"/>
        <w:outlineLvl w:val="2"/>
        <w:rPr>
          <w:rFonts w:hint="eastAsia" w:ascii="仿宋" w:hAnsi="仿宋" w:eastAsia="仿宋" w:cs="宋体"/>
          <w:b/>
          <w:bCs/>
          <w:color w:val="000000"/>
          <w:sz w:val="24"/>
          <w:szCs w:val="24"/>
        </w:rPr>
      </w:pPr>
      <w:r>
        <w:rPr>
          <w:rFonts w:hint="eastAsia" w:ascii="仿宋" w:hAnsi="仿宋" w:eastAsia="仿宋" w:cs="宋体"/>
          <w:b/>
          <w:bCs/>
          <w:color w:val="000000"/>
          <w:sz w:val="24"/>
          <w:szCs w:val="24"/>
        </w:rPr>
        <w:t>（二）付款方式</w:t>
      </w:r>
    </w:p>
    <w:p w14:paraId="4CAD43B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（1）首付款：合同签订完毕，甲方收到乙方开具相应税票后的10个工作日内，甲方向乙方支付合同总金额的30%作为首付款，即人民币</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元（￥</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元）。</w:t>
      </w:r>
    </w:p>
    <w:p w14:paraId="5268421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（2）进度款：服务期满6个月，前序季度《维保服务评价报告》均为合格及以上，并提交所有项目提交物后，甲方收到乙方开具相应税票后的10个工作日内，甲方向乙方支付合同总金额的30%作为进度款，即人民币</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元（￥</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元）；若存在《维保服务评价报告》不合格情况，按监理和审计出具报告执行。</w:t>
      </w:r>
    </w:p>
    <w:p w14:paraId="54C23FB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（3）验收款：合同约定的服务期满后，前序季度《维保服务评价报告》均为合格及以上，并提交所有项目提交物后，</w:t>
      </w:r>
      <w:r>
        <w:rPr>
          <w:rFonts w:hint="eastAsia" w:ascii="仿宋" w:hAnsi="仿宋" w:eastAsia="仿宋"/>
          <w:sz w:val="24"/>
          <w:szCs w:val="24"/>
        </w:rPr>
        <w:t>进行审计，经审计确认</w:t>
      </w:r>
      <w:r>
        <w:rPr>
          <w:rFonts w:hint="eastAsia" w:ascii="仿宋" w:hAnsi="仿宋" w:eastAsia="仿宋" w:cs="仿宋"/>
          <w:sz w:val="24"/>
          <w:szCs w:val="24"/>
        </w:rPr>
        <w:t>且甲方收到乙方开具相应税票后的10个工作日内，甲方支付至总合同审定金额的100%给乙方；若存在《维保服务评价报告》不合格情况，按监理和审计出具报告执行。</w:t>
      </w:r>
    </w:p>
    <w:p w14:paraId="206441E1">
      <w:pPr>
        <w:pStyle w:val="13"/>
        <w:topLinePunct/>
        <w:spacing w:line="360" w:lineRule="auto"/>
        <w:ind w:firstLine="480"/>
        <w:rPr>
          <w:rFonts w:hint="eastAsia" w:ascii="仿宋" w:hAnsi="仿宋" w:eastAsia="仿宋"/>
          <w:color w:val="000000"/>
          <w:kern w:val="0"/>
          <w:sz w:val="24"/>
          <w:szCs w:val="24"/>
        </w:rPr>
      </w:pPr>
      <w:r>
        <w:rPr>
          <w:rFonts w:hint="eastAsia" w:ascii="仿宋" w:hAnsi="仿宋" w:eastAsia="仿宋"/>
          <w:color w:val="000000"/>
          <w:kern w:val="0"/>
          <w:sz w:val="24"/>
          <w:szCs w:val="24"/>
        </w:rPr>
        <w:t xml:space="preserve">乙方开具相应金额的发票给甲方后，甲方采用银行电汇的方式付款。 </w:t>
      </w:r>
    </w:p>
    <w:p w14:paraId="00EEA214">
      <w:pPr>
        <w:snapToGrid w:val="0"/>
        <w:spacing w:line="360" w:lineRule="auto"/>
        <w:ind w:firstLine="482" w:firstLineChars="200"/>
        <w:jc w:val="left"/>
        <w:outlineLvl w:val="2"/>
        <w:rPr>
          <w:rFonts w:hint="eastAsia" w:ascii="仿宋" w:hAnsi="仿宋" w:eastAsia="仿宋" w:cs="宋体"/>
          <w:b/>
          <w:bCs/>
          <w:color w:val="000000"/>
          <w:sz w:val="24"/>
          <w:szCs w:val="24"/>
        </w:rPr>
      </w:pPr>
      <w:r>
        <w:rPr>
          <w:rFonts w:hint="eastAsia" w:ascii="仿宋" w:hAnsi="仿宋" w:eastAsia="仿宋" w:cs="宋体"/>
          <w:b/>
          <w:bCs/>
          <w:color w:val="000000"/>
          <w:sz w:val="24"/>
          <w:szCs w:val="24"/>
        </w:rPr>
        <w:t>（三）服务续签</w:t>
      </w:r>
    </w:p>
    <w:p w14:paraId="081C135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本服务期满后，甲方根据上一年内的服务质量，对乙方服务质量进行考评（详见附件《服务评价报告》），如考评结果合格，甲乙双方无异议可参照上一年度条款续签服务合同，最多可续签2次。</w:t>
      </w:r>
    </w:p>
    <w:p w14:paraId="34221791">
      <w:pPr>
        <w:snapToGrid w:val="0"/>
        <w:spacing w:line="360" w:lineRule="auto"/>
        <w:ind w:firstLine="482" w:firstLineChars="200"/>
        <w:jc w:val="left"/>
        <w:outlineLvl w:val="2"/>
        <w:rPr>
          <w:rFonts w:hint="eastAsia" w:ascii="仿宋" w:hAnsi="仿宋" w:eastAsia="仿宋" w:cs="宋体"/>
          <w:b/>
          <w:bCs/>
          <w:color w:val="000000"/>
          <w:sz w:val="24"/>
          <w:szCs w:val="24"/>
        </w:rPr>
      </w:pPr>
      <w:r>
        <w:rPr>
          <w:rFonts w:hint="eastAsia" w:ascii="仿宋" w:hAnsi="仿宋" w:eastAsia="仿宋" w:cs="宋体"/>
          <w:b/>
          <w:bCs/>
          <w:color w:val="000000"/>
          <w:sz w:val="24"/>
          <w:szCs w:val="24"/>
        </w:rPr>
        <w:t>（四）违约责任</w:t>
      </w:r>
    </w:p>
    <w:p w14:paraId="3A4BB90E">
      <w:pPr>
        <w:pStyle w:val="13"/>
        <w:topLinePunct/>
        <w:spacing w:line="360" w:lineRule="auto"/>
        <w:ind w:firstLine="480"/>
        <w:rPr>
          <w:rFonts w:hint="eastAsia" w:ascii="仿宋" w:hAnsi="仿宋" w:eastAsia="仿宋"/>
          <w:color w:val="000000"/>
          <w:kern w:val="0"/>
          <w:sz w:val="24"/>
          <w:szCs w:val="24"/>
        </w:rPr>
      </w:pPr>
      <w:r>
        <w:rPr>
          <w:rFonts w:hint="eastAsia" w:ascii="仿宋" w:hAnsi="仿宋" w:eastAsia="仿宋"/>
          <w:color w:val="000000"/>
          <w:kern w:val="0"/>
          <w:sz w:val="24"/>
          <w:szCs w:val="24"/>
        </w:rPr>
        <w:t>乙方签署合同但不提供相应的技术维护服务，或甲方评价乙方服务合格，但拒绝支付服务费用的情况，视为违约。违约方需向对方支付违约金， 违约金每5个工作日为合同总价的1%，违约金的总额不超过合同总价的10%。</w:t>
      </w:r>
    </w:p>
    <w:p w14:paraId="3CCEBB94">
      <w:pPr>
        <w:pStyle w:val="13"/>
        <w:topLinePunct/>
        <w:spacing w:line="360" w:lineRule="auto"/>
        <w:ind w:firstLine="480"/>
        <w:rPr>
          <w:rFonts w:hint="eastAsia" w:ascii="仿宋" w:hAnsi="仿宋" w:eastAsia="仿宋"/>
          <w:color w:val="000000"/>
          <w:kern w:val="0"/>
          <w:sz w:val="24"/>
          <w:szCs w:val="24"/>
        </w:rPr>
      </w:pPr>
      <w:r>
        <w:rPr>
          <w:rFonts w:hint="eastAsia" w:ascii="仿宋" w:hAnsi="仿宋" w:eastAsia="仿宋"/>
          <w:color w:val="000000"/>
          <w:kern w:val="0"/>
          <w:sz w:val="24"/>
          <w:szCs w:val="24"/>
        </w:rPr>
        <w:t>如果非乙方原因或乙方不可抗力因素造成乙方未按期完成工作的，则乙方不承担由此产生的逾期未完成工作的责任。</w:t>
      </w:r>
    </w:p>
    <w:p w14:paraId="0020FB2F">
      <w:pPr>
        <w:spacing w:line="360" w:lineRule="auto"/>
        <w:rPr>
          <w:rFonts w:hint="eastAsia" w:ascii="仿宋" w:hAnsi="仿宋" w:eastAsia="仿宋" w:cs="仿宋"/>
          <w:spacing w:val="4"/>
          <w:sz w:val="24"/>
          <w:szCs w:val="24"/>
        </w:rPr>
      </w:pPr>
    </w:p>
    <w:p w14:paraId="644C7C44">
      <w:pPr>
        <w:spacing w:line="360" w:lineRule="auto"/>
        <w:rPr>
          <w:rFonts w:hint="eastAsia" w:ascii="仿宋" w:hAnsi="仿宋" w:eastAsia="仿宋" w:cs="仿宋"/>
          <w:spacing w:val="4"/>
          <w:sz w:val="24"/>
          <w:szCs w:val="24"/>
        </w:rPr>
      </w:pPr>
    </w:p>
    <w:p w14:paraId="4311E672">
      <w:pPr>
        <w:rPr>
          <w:rFonts w:hint="eastAsia" w:ascii="仿宋" w:hAnsi="仿宋" w:eastAsia="仿宋" w:cs="仿宋"/>
          <w:sz w:val="24"/>
          <w:szCs w:val="24"/>
        </w:rPr>
      </w:pPr>
      <w:r>
        <w:rPr>
          <w:rFonts w:ascii="仿宋" w:hAnsi="仿宋" w:eastAsia="仿宋" w:cs="仿宋"/>
          <w:sz w:val="24"/>
          <w:szCs w:val="24"/>
        </w:rPr>
        <w:br w:type="page"/>
      </w:r>
    </w:p>
    <w:p w14:paraId="4E8D8E49">
      <w:pPr>
        <w:jc w:val="left"/>
        <w:outlineLvl w:val="1"/>
        <w:rPr>
          <w:rFonts w:hint="eastAsia" w:ascii="仿宋" w:hAnsi="仿宋" w:eastAsia="仿宋" w:cs="仿宋"/>
          <w:sz w:val="24"/>
          <w:szCs w:val="24"/>
        </w:rPr>
      </w:pPr>
      <w:r>
        <w:rPr>
          <w:rFonts w:hint="eastAsia" w:ascii="仿宋" w:hAnsi="仿宋" w:eastAsia="仿宋" w:cs="仿宋"/>
          <w:sz w:val="24"/>
          <w:szCs w:val="24"/>
        </w:rPr>
        <w:t>附件1：</w:t>
      </w:r>
      <w:bookmarkStart w:id="1" w:name="_GoBack"/>
      <w:bookmarkEnd w:id="1"/>
    </w:p>
    <w:p w14:paraId="50139781">
      <w:pPr>
        <w:jc w:val="center"/>
        <w:rPr>
          <w:rFonts w:hint="eastAsia" w:ascii="黑体" w:hAnsi="黑体" w:eastAsia="黑体"/>
          <w:sz w:val="28"/>
          <w:szCs w:val="28"/>
        </w:rPr>
      </w:pPr>
      <w:r>
        <w:rPr>
          <w:rFonts w:ascii="黑体" w:hAnsi="黑体" w:eastAsia="黑体"/>
          <w:sz w:val="28"/>
          <w:szCs w:val="28"/>
        </w:rPr>
        <w:t>武汉市中心医院</w:t>
      </w:r>
    </w:p>
    <w:p w14:paraId="177817F9">
      <w:pPr>
        <w:jc w:val="center"/>
        <w:rPr>
          <w:rFonts w:hint="eastAsia" w:ascii="黑体" w:hAnsi="黑体" w:eastAsia="黑体"/>
          <w:sz w:val="32"/>
          <w:szCs w:val="32"/>
        </w:rPr>
      </w:pPr>
      <w:r>
        <w:rPr>
          <w:rFonts w:ascii="黑体" w:hAnsi="黑体" w:eastAsia="黑体"/>
          <w:sz w:val="32"/>
          <w:szCs w:val="32"/>
        </w:rPr>
        <w:t>20</w:t>
      </w:r>
      <w:r>
        <w:rPr>
          <w:rFonts w:hint="eastAsia" w:ascii="黑体" w:hAnsi="黑体" w:eastAsia="黑体"/>
          <w:sz w:val="32"/>
          <w:szCs w:val="32"/>
        </w:rPr>
        <w:t>xx年</w:t>
      </w:r>
      <w:r>
        <w:rPr>
          <w:rFonts w:ascii="黑体" w:hAnsi="黑体" w:eastAsia="黑体"/>
          <w:sz w:val="32"/>
          <w:szCs w:val="32"/>
        </w:rPr>
        <w:t>度</w:t>
      </w:r>
      <w:r>
        <w:rPr>
          <w:rFonts w:hint="eastAsia" w:ascii="黑体" w:hAnsi="黑体" w:eastAsia="黑体"/>
          <w:sz w:val="32"/>
          <w:szCs w:val="32"/>
        </w:rPr>
        <w:t>售后维保服务</w:t>
      </w:r>
      <w:r>
        <w:rPr>
          <w:rFonts w:ascii="黑体" w:hAnsi="黑体" w:eastAsia="黑体"/>
          <w:sz w:val="32"/>
          <w:szCs w:val="32"/>
        </w:rPr>
        <w:t>评价</w:t>
      </w:r>
      <w:r>
        <w:rPr>
          <w:rFonts w:hint="eastAsia" w:ascii="黑体" w:hAnsi="黑体" w:eastAsia="黑体"/>
          <w:sz w:val="32"/>
          <w:szCs w:val="32"/>
        </w:rPr>
        <w:t>报告（模板）</w:t>
      </w:r>
    </w:p>
    <w:tbl>
      <w:tblPr>
        <w:tblStyle w:val="10"/>
        <w:tblW w:w="8271" w:type="dxa"/>
        <w:tblInd w:w="113" w:type="dxa"/>
        <w:tblLayout w:type="fixed"/>
        <w:tblCellMar>
          <w:top w:w="0" w:type="dxa"/>
          <w:left w:w="108" w:type="dxa"/>
          <w:bottom w:w="0" w:type="dxa"/>
          <w:right w:w="108" w:type="dxa"/>
        </w:tblCellMar>
      </w:tblPr>
      <w:tblGrid>
        <w:gridCol w:w="1429"/>
        <w:gridCol w:w="2699"/>
        <w:gridCol w:w="4143"/>
      </w:tblGrid>
      <w:tr w14:paraId="3F87BC51">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3F2E9282">
            <w:pPr>
              <w:widowControl/>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项目名称</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DDC306A">
            <w:pPr>
              <w:widowControl/>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　</w:t>
            </w:r>
          </w:p>
        </w:tc>
      </w:tr>
      <w:tr w14:paraId="6A0DECA6">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4C86DDE1">
            <w:pPr>
              <w:widowControl/>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服务提供方</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767FABC">
            <w:pPr>
              <w:widowControl/>
              <w:jc w:val="center"/>
              <w:rPr>
                <w:rFonts w:hint="eastAsia" w:ascii="仿宋" w:hAnsi="仿宋" w:eastAsia="仿宋" w:cs="宋体"/>
                <w:color w:val="000000"/>
                <w:kern w:val="0"/>
                <w:sz w:val="24"/>
                <w:szCs w:val="24"/>
              </w:rPr>
            </w:pPr>
          </w:p>
        </w:tc>
      </w:tr>
      <w:tr w14:paraId="410828D0">
        <w:tblPrEx>
          <w:tblCellMar>
            <w:top w:w="0" w:type="dxa"/>
            <w:left w:w="108" w:type="dxa"/>
            <w:bottom w:w="0" w:type="dxa"/>
            <w:right w:w="108" w:type="dxa"/>
          </w:tblCellMar>
        </w:tblPrEx>
        <w:trPr>
          <w:trHeight w:val="538" w:hRule="atLeast"/>
        </w:trPr>
        <w:tc>
          <w:tcPr>
            <w:tcW w:w="1429" w:type="dxa"/>
            <w:tcBorders>
              <w:top w:val="nil"/>
              <w:left w:val="single" w:color="auto" w:sz="4" w:space="0"/>
              <w:bottom w:val="single" w:color="auto" w:sz="4" w:space="0"/>
              <w:right w:val="single" w:color="auto" w:sz="4" w:space="0"/>
            </w:tcBorders>
            <w:shd w:val="clear" w:color="auto" w:fill="auto"/>
            <w:vAlign w:val="center"/>
          </w:tcPr>
          <w:p w14:paraId="2F8F8862">
            <w:pPr>
              <w:widowControl/>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评价区间</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77A8BB92">
            <w:pPr>
              <w:widowControl/>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 xml:space="preserve">    年  月  日 至    </w:t>
            </w: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年  月  日</w:t>
            </w:r>
          </w:p>
        </w:tc>
      </w:tr>
      <w:tr w14:paraId="6E6A9D94">
        <w:tblPrEx>
          <w:tblCellMar>
            <w:top w:w="0" w:type="dxa"/>
            <w:left w:w="108" w:type="dxa"/>
            <w:bottom w:w="0" w:type="dxa"/>
            <w:right w:w="108" w:type="dxa"/>
          </w:tblCellMar>
        </w:tblPrEx>
        <w:trPr>
          <w:trHeight w:val="799" w:hRule="atLeast"/>
        </w:trPr>
        <w:tc>
          <w:tcPr>
            <w:tcW w:w="1429" w:type="dxa"/>
            <w:vMerge w:val="restart"/>
            <w:tcBorders>
              <w:top w:val="nil"/>
              <w:left w:val="single" w:color="auto" w:sz="4" w:space="0"/>
              <w:bottom w:val="single" w:color="auto" w:sz="4" w:space="0"/>
              <w:right w:val="single" w:color="auto" w:sz="4" w:space="0"/>
            </w:tcBorders>
            <w:vAlign w:val="center"/>
          </w:tcPr>
          <w:p w14:paraId="4E52538F">
            <w:pPr>
              <w:widowControl/>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服务水平</w:t>
            </w:r>
          </w:p>
          <w:p w14:paraId="4B6F74BE">
            <w:pPr>
              <w:widowControl/>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评价</w:t>
            </w:r>
          </w:p>
          <w:p w14:paraId="31D5C1CF">
            <w:pPr>
              <w:widowControl/>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（使用科室评价）</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167EDEA">
            <w:pPr>
              <w:widowControl/>
              <w:jc w:val="left"/>
              <w:rPr>
                <w:rFonts w:hint="eastAsia"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03286A3F">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2"/>
              </w:rPr>
              <w:t>达到1</w:t>
            </w:r>
            <w:r>
              <w:rPr>
                <w:rFonts w:ascii="仿宋" w:hAnsi="仿宋" w:eastAsia="仿宋" w:cs="宋体"/>
                <w:color w:val="000000"/>
                <w:kern w:val="0"/>
                <w:sz w:val="22"/>
              </w:rPr>
              <w:t>00</w:t>
            </w:r>
            <w:r>
              <w:rPr>
                <w:rFonts w:hint="eastAsia" w:ascii="仿宋" w:hAnsi="仿宋" w:eastAsia="仿宋" w:cs="宋体"/>
                <w:color w:val="000000"/>
                <w:kern w:val="0"/>
                <w:sz w:val="22"/>
              </w:rPr>
              <w:t>%为优秀，≥9</w:t>
            </w:r>
            <w:r>
              <w:rPr>
                <w:rFonts w:ascii="仿宋" w:hAnsi="仿宋" w:eastAsia="仿宋" w:cs="宋体"/>
                <w:color w:val="000000"/>
                <w:kern w:val="0"/>
                <w:sz w:val="22"/>
              </w:rPr>
              <w:t>0</w:t>
            </w:r>
            <w:r>
              <w:rPr>
                <w:rFonts w:hint="eastAsia" w:ascii="仿宋" w:hAnsi="仿宋" w:eastAsia="仿宋" w:cs="宋体"/>
                <w:color w:val="000000"/>
                <w:kern w:val="0"/>
                <w:sz w:val="22"/>
              </w:rPr>
              <w:t>%为良好，≥8</w:t>
            </w:r>
            <w:r>
              <w:rPr>
                <w:rFonts w:ascii="仿宋" w:hAnsi="仿宋" w:eastAsia="仿宋" w:cs="宋体"/>
                <w:color w:val="000000"/>
                <w:kern w:val="0"/>
                <w:sz w:val="22"/>
              </w:rPr>
              <w:t>0</w:t>
            </w:r>
            <w:r>
              <w:rPr>
                <w:rFonts w:hint="eastAsia" w:ascii="仿宋" w:hAnsi="仿宋" w:eastAsia="仿宋" w:cs="宋体"/>
                <w:color w:val="000000"/>
                <w:kern w:val="0"/>
                <w:sz w:val="22"/>
              </w:rPr>
              <w:t>%为合格，＜8</w:t>
            </w:r>
            <w:r>
              <w:rPr>
                <w:rFonts w:ascii="仿宋" w:hAnsi="仿宋" w:eastAsia="仿宋" w:cs="宋体"/>
                <w:color w:val="000000"/>
                <w:kern w:val="0"/>
                <w:sz w:val="22"/>
              </w:rPr>
              <w:t>0</w:t>
            </w:r>
            <w:r>
              <w:rPr>
                <w:rFonts w:hint="eastAsia" w:ascii="仿宋" w:hAnsi="仿宋" w:eastAsia="仿宋" w:cs="宋体"/>
                <w:color w:val="000000"/>
                <w:kern w:val="0"/>
                <w:sz w:val="22"/>
              </w:rPr>
              <w:t>%为不合格</w:t>
            </w:r>
          </w:p>
        </w:tc>
      </w:tr>
      <w:tr w14:paraId="30BA6354">
        <w:tblPrEx>
          <w:tblCellMar>
            <w:top w:w="0" w:type="dxa"/>
            <w:left w:w="108" w:type="dxa"/>
            <w:bottom w:w="0" w:type="dxa"/>
            <w:right w:w="108" w:type="dxa"/>
          </w:tblCellMar>
        </w:tblPrEx>
        <w:trPr>
          <w:trHeight w:val="799" w:hRule="atLeast"/>
        </w:trPr>
        <w:tc>
          <w:tcPr>
            <w:tcW w:w="1429" w:type="dxa"/>
            <w:vMerge w:val="continue"/>
            <w:tcBorders>
              <w:top w:val="nil"/>
              <w:left w:val="single" w:color="auto" w:sz="4" w:space="0"/>
              <w:bottom w:val="single" w:color="auto" w:sz="4" w:space="0"/>
              <w:right w:val="single" w:color="auto" w:sz="4" w:space="0"/>
            </w:tcBorders>
            <w:vAlign w:val="center"/>
          </w:tcPr>
          <w:p w14:paraId="795790C5">
            <w:pPr>
              <w:widowControl/>
              <w:jc w:val="left"/>
              <w:rPr>
                <w:rFonts w:hint="eastAsia"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5DA93EE">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78B7E6EE">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2"/>
              </w:rPr>
              <w:t>因</w:t>
            </w:r>
            <w:r>
              <w:rPr>
                <w:rFonts w:ascii="仿宋" w:hAnsi="仿宋" w:eastAsia="仿宋" w:cs="宋体"/>
                <w:color w:val="000000"/>
                <w:kern w:val="0"/>
                <w:sz w:val="22"/>
              </w:rPr>
              <w:t>服务问题导致的不良事件发生，服务期间评价直接给予不合格评价</w:t>
            </w:r>
          </w:p>
        </w:tc>
      </w:tr>
      <w:tr w14:paraId="64020A3C">
        <w:tblPrEx>
          <w:tblCellMar>
            <w:top w:w="0" w:type="dxa"/>
            <w:left w:w="108" w:type="dxa"/>
            <w:bottom w:w="0" w:type="dxa"/>
            <w:right w:w="108" w:type="dxa"/>
          </w:tblCellMar>
        </w:tblPrEx>
        <w:trPr>
          <w:trHeight w:val="427" w:hRule="atLeast"/>
        </w:trPr>
        <w:tc>
          <w:tcPr>
            <w:tcW w:w="1429" w:type="dxa"/>
            <w:vMerge w:val="continue"/>
            <w:tcBorders>
              <w:top w:val="nil"/>
              <w:left w:val="single" w:color="auto" w:sz="4" w:space="0"/>
              <w:bottom w:val="single" w:color="auto" w:sz="4" w:space="0"/>
              <w:right w:val="single" w:color="auto" w:sz="4" w:space="0"/>
            </w:tcBorders>
            <w:vAlign w:val="center"/>
          </w:tcPr>
          <w:p w14:paraId="0F0477B0">
            <w:pPr>
              <w:widowControl/>
              <w:jc w:val="left"/>
              <w:rPr>
                <w:rFonts w:hint="eastAsia"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60814EA4">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69C5AE7D">
        <w:tblPrEx>
          <w:tblCellMar>
            <w:top w:w="0" w:type="dxa"/>
            <w:left w:w="108" w:type="dxa"/>
            <w:bottom w:w="0" w:type="dxa"/>
            <w:right w:w="108" w:type="dxa"/>
          </w:tblCellMar>
        </w:tblPrEx>
        <w:trPr>
          <w:trHeight w:val="402" w:hRule="atLeast"/>
        </w:trPr>
        <w:tc>
          <w:tcPr>
            <w:tcW w:w="1429" w:type="dxa"/>
            <w:vMerge w:val="continue"/>
            <w:tcBorders>
              <w:top w:val="nil"/>
              <w:left w:val="single" w:color="auto" w:sz="4" w:space="0"/>
              <w:bottom w:val="single" w:color="auto" w:sz="4" w:space="0"/>
              <w:right w:val="single" w:color="auto" w:sz="4" w:space="0"/>
            </w:tcBorders>
            <w:vAlign w:val="center"/>
          </w:tcPr>
          <w:p w14:paraId="642CB9F6">
            <w:pPr>
              <w:widowControl/>
              <w:jc w:val="left"/>
              <w:rPr>
                <w:rFonts w:hint="eastAsia"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6CDF1F4E">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4FD47079">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评价日期：  </w:t>
            </w:r>
          </w:p>
        </w:tc>
      </w:tr>
      <w:tr w14:paraId="090EBD92">
        <w:tblPrEx>
          <w:tblCellMar>
            <w:top w:w="0" w:type="dxa"/>
            <w:left w:w="108" w:type="dxa"/>
            <w:bottom w:w="0" w:type="dxa"/>
            <w:right w:w="108" w:type="dxa"/>
          </w:tblCellMar>
        </w:tblPrEx>
        <w:trPr>
          <w:trHeight w:val="799" w:hRule="atLeast"/>
        </w:trPr>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9180459">
            <w:pPr>
              <w:jc w:val="center"/>
              <w:rPr>
                <w:rFonts w:hint="eastAsia" w:ascii="仿宋" w:hAnsi="仿宋" w:eastAsia="仿宋" w:cs="仿宋"/>
                <w:sz w:val="24"/>
                <w:szCs w:val="24"/>
              </w:rPr>
            </w:pPr>
            <w:r>
              <w:rPr>
                <w:rFonts w:hint="eastAsia" w:ascii="仿宋" w:hAnsi="仿宋" w:eastAsia="仿宋" w:cs="仿宋"/>
                <w:sz w:val="24"/>
                <w:szCs w:val="24"/>
              </w:rPr>
              <w:t>服务质量</w:t>
            </w:r>
          </w:p>
          <w:p w14:paraId="2F4B6873">
            <w:pPr>
              <w:jc w:val="center"/>
              <w:rPr>
                <w:rFonts w:hint="eastAsia" w:ascii="仿宋" w:hAnsi="仿宋" w:eastAsia="仿宋" w:cs="仿宋"/>
                <w:sz w:val="24"/>
                <w:szCs w:val="24"/>
              </w:rPr>
            </w:pPr>
            <w:r>
              <w:rPr>
                <w:rFonts w:hint="eastAsia" w:ascii="仿宋" w:hAnsi="仿宋" w:eastAsia="仿宋" w:cs="仿宋"/>
                <w:sz w:val="24"/>
                <w:szCs w:val="24"/>
              </w:rPr>
              <w:t>评价</w:t>
            </w:r>
          </w:p>
          <w:p w14:paraId="6BF806C2">
            <w:pPr>
              <w:jc w:val="center"/>
              <w:rPr>
                <w:rFonts w:hint="eastAsia" w:ascii="仿宋" w:hAnsi="仿宋" w:eastAsia="仿宋" w:cs="宋体"/>
                <w:color w:val="000000"/>
                <w:kern w:val="0"/>
                <w:szCs w:val="24"/>
              </w:rPr>
            </w:pPr>
            <w:r>
              <w:rPr>
                <w:rFonts w:hint="eastAsia" w:ascii="仿宋" w:hAnsi="仿宋" w:eastAsia="仿宋" w:cs="仿宋"/>
                <w:sz w:val="24"/>
                <w:szCs w:val="24"/>
              </w:rPr>
              <w:t>（信息中心评价</w:t>
            </w:r>
            <w:r>
              <w:rPr>
                <w:rFonts w:hint="eastAsia" w:ascii="仿宋" w:hAnsi="仿宋" w:eastAsia="仿宋" w:cs="仿宋"/>
                <w:color w:val="000000"/>
                <w:kern w:val="0"/>
                <w:sz w:val="24"/>
                <w:szCs w:val="24"/>
              </w:rPr>
              <w:t>）</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B3DA96F">
            <w:pPr>
              <w:widowControl/>
              <w:jc w:val="left"/>
              <w:rPr>
                <w:rFonts w:hint="eastAsia"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1A88B9DC">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2"/>
              </w:rPr>
              <w:t>达到1</w:t>
            </w:r>
            <w:r>
              <w:rPr>
                <w:rFonts w:ascii="仿宋" w:hAnsi="仿宋" w:eastAsia="仿宋" w:cs="宋体"/>
                <w:color w:val="000000"/>
                <w:kern w:val="0"/>
                <w:sz w:val="22"/>
              </w:rPr>
              <w:t>00</w:t>
            </w:r>
            <w:r>
              <w:rPr>
                <w:rFonts w:hint="eastAsia" w:ascii="仿宋" w:hAnsi="仿宋" w:eastAsia="仿宋" w:cs="宋体"/>
                <w:color w:val="000000"/>
                <w:kern w:val="0"/>
                <w:sz w:val="22"/>
              </w:rPr>
              <w:t>%为优秀，≥9</w:t>
            </w:r>
            <w:r>
              <w:rPr>
                <w:rFonts w:ascii="仿宋" w:hAnsi="仿宋" w:eastAsia="仿宋" w:cs="宋体"/>
                <w:color w:val="000000"/>
                <w:kern w:val="0"/>
                <w:sz w:val="22"/>
              </w:rPr>
              <w:t>0</w:t>
            </w:r>
            <w:r>
              <w:rPr>
                <w:rFonts w:hint="eastAsia" w:ascii="仿宋" w:hAnsi="仿宋" w:eastAsia="仿宋" w:cs="宋体"/>
                <w:color w:val="000000"/>
                <w:kern w:val="0"/>
                <w:sz w:val="22"/>
              </w:rPr>
              <w:t>%为良好，≥8</w:t>
            </w:r>
            <w:r>
              <w:rPr>
                <w:rFonts w:ascii="仿宋" w:hAnsi="仿宋" w:eastAsia="仿宋" w:cs="宋体"/>
                <w:color w:val="000000"/>
                <w:kern w:val="0"/>
                <w:sz w:val="22"/>
              </w:rPr>
              <w:t>0</w:t>
            </w:r>
            <w:r>
              <w:rPr>
                <w:rFonts w:hint="eastAsia" w:ascii="仿宋" w:hAnsi="仿宋" w:eastAsia="仿宋" w:cs="宋体"/>
                <w:color w:val="000000"/>
                <w:kern w:val="0"/>
                <w:sz w:val="22"/>
              </w:rPr>
              <w:t>%为合格，＜8</w:t>
            </w:r>
            <w:r>
              <w:rPr>
                <w:rFonts w:ascii="仿宋" w:hAnsi="仿宋" w:eastAsia="仿宋" w:cs="宋体"/>
                <w:color w:val="000000"/>
                <w:kern w:val="0"/>
                <w:sz w:val="22"/>
              </w:rPr>
              <w:t>0</w:t>
            </w:r>
            <w:r>
              <w:rPr>
                <w:rFonts w:hint="eastAsia" w:ascii="仿宋" w:hAnsi="仿宋" w:eastAsia="仿宋" w:cs="宋体"/>
                <w:color w:val="000000"/>
                <w:kern w:val="0"/>
                <w:sz w:val="22"/>
              </w:rPr>
              <w:t>%为不合格</w:t>
            </w:r>
          </w:p>
        </w:tc>
      </w:tr>
      <w:tr w14:paraId="665CCFE7">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DD1337">
            <w:pPr>
              <w:widowControl/>
              <w:jc w:val="left"/>
              <w:rPr>
                <w:rFonts w:hint="eastAsia"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40A08447">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4C79B566">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2"/>
              </w:rPr>
              <w:t>因</w:t>
            </w:r>
            <w:r>
              <w:rPr>
                <w:rFonts w:ascii="仿宋" w:hAnsi="仿宋" w:eastAsia="仿宋" w:cs="宋体"/>
                <w:color w:val="000000"/>
                <w:kern w:val="0"/>
                <w:sz w:val="22"/>
              </w:rPr>
              <w:t>服务问题导致的不良事件发生，服务期间评价直接给予不合格评价</w:t>
            </w:r>
          </w:p>
        </w:tc>
      </w:tr>
      <w:tr w14:paraId="320A90A4">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4685EDC">
            <w:pPr>
              <w:widowControl/>
              <w:jc w:val="left"/>
              <w:rPr>
                <w:rFonts w:hint="eastAsia"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DAF04A9">
            <w:pPr>
              <w:widowControl/>
              <w:jc w:val="left"/>
              <w:rPr>
                <w:rFonts w:hint="eastAsia" w:ascii="仿宋" w:hAnsi="仿宋" w:eastAsia="仿宋" w:cs="宋体"/>
                <w:color w:val="000000"/>
                <w:kern w:val="0"/>
                <w:sz w:val="22"/>
              </w:rPr>
            </w:pPr>
            <w:r>
              <w:rPr>
                <w:rFonts w:hint="eastAsia" w:ascii="仿宋" w:hAnsi="仿宋" w:eastAsia="仿宋" w:cs="宋体"/>
                <w:color w:val="000000"/>
                <w:kern w:val="0"/>
                <w:sz w:val="22"/>
              </w:rPr>
              <w:t>1.服务响应效率：大于1小时次数</w:t>
            </w:r>
            <w:r>
              <w:rPr>
                <w:rFonts w:hint="eastAsia" w:ascii="仿宋" w:hAnsi="仿宋" w:eastAsia="仿宋" w:cs="宋体"/>
                <w:color w:val="000000"/>
                <w:kern w:val="0"/>
                <w:sz w:val="22"/>
                <w:u w:val="single"/>
              </w:rPr>
              <w:t xml:space="preserve"> </w:t>
            </w:r>
            <w:r>
              <w:rPr>
                <w:rFonts w:ascii="仿宋" w:hAnsi="仿宋" w:eastAsia="仿宋" w:cs="宋体"/>
                <w:color w:val="000000"/>
                <w:kern w:val="0"/>
                <w:sz w:val="22"/>
                <w:u w:val="single"/>
              </w:rPr>
              <w:t xml:space="preserve"> </w:t>
            </w:r>
            <w:r>
              <w:rPr>
                <w:rFonts w:hint="eastAsia" w:ascii="仿宋" w:hAnsi="仿宋" w:eastAsia="仿宋" w:cs="宋体"/>
                <w:color w:val="000000"/>
                <w:kern w:val="0"/>
                <w:sz w:val="22"/>
              </w:rPr>
              <w:t>次</w:t>
            </w:r>
          </w:p>
          <w:p w14:paraId="242E977E">
            <w:pPr>
              <w:widowControl/>
              <w:jc w:val="left"/>
              <w:rPr>
                <w:rFonts w:hint="eastAsia" w:ascii="仿宋" w:hAnsi="仿宋" w:eastAsia="仿宋" w:cs="宋体"/>
                <w:color w:val="000000"/>
                <w:kern w:val="0"/>
                <w:sz w:val="22"/>
              </w:rPr>
            </w:pPr>
            <w:r>
              <w:rPr>
                <w:rFonts w:hint="eastAsia" w:ascii="仿宋" w:hAnsi="仿宋" w:eastAsia="仿宋" w:cs="宋体"/>
                <w:color w:val="000000"/>
                <w:kern w:val="0"/>
                <w:sz w:val="22"/>
              </w:rPr>
              <w:t>响应问题及处理问题时间大于1小时一次，则扣减1%合同款，按次数累计。</w:t>
            </w:r>
          </w:p>
          <w:p w14:paraId="6A57DD7D">
            <w:pPr>
              <w:widowControl/>
              <w:jc w:val="left"/>
              <w:rPr>
                <w:rFonts w:hint="eastAsia" w:ascii="仿宋" w:hAnsi="仿宋" w:eastAsia="仿宋" w:cs="仿宋"/>
                <w:sz w:val="22"/>
              </w:rPr>
            </w:pPr>
            <w:r>
              <w:rPr>
                <w:rFonts w:hint="eastAsia" w:ascii="仿宋" w:hAnsi="仿宋" w:eastAsia="仿宋" w:cs="仿宋"/>
                <w:sz w:val="22"/>
              </w:rPr>
              <w:t>2.因乙方未提前通知导致甲方系统故障：故障次数</w:t>
            </w:r>
            <w:r>
              <w:rPr>
                <w:rFonts w:hint="eastAsia" w:ascii="仿宋" w:hAnsi="仿宋" w:eastAsia="仿宋" w:cs="宋体"/>
                <w:color w:val="000000"/>
                <w:kern w:val="0"/>
                <w:sz w:val="22"/>
                <w:u w:val="single"/>
              </w:rPr>
              <w:t xml:space="preserve"> </w:t>
            </w:r>
            <w:r>
              <w:rPr>
                <w:rFonts w:ascii="仿宋" w:hAnsi="仿宋" w:eastAsia="仿宋" w:cs="宋体"/>
                <w:color w:val="000000"/>
                <w:kern w:val="0"/>
                <w:sz w:val="22"/>
                <w:u w:val="single"/>
              </w:rPr>
              <w:t xml:space="preserve"> </w:t>
            </w:r>
            <w:r>
              <w:rPr>
                <w:rFonts w:hint="eastAsia" w:ascii="仿宋" w:hAnsi="仿宋" w:eastAsia="仿宋" w:cs="宋体"/>
                <w:color w:val="000000"/>
                <w:kern w:val="0"/>
                <w:sz w:val="22"/>
              </w:rPr>
              <w:t>次</w:t>
            </w:r>
          </w:p>
          <w:p w14:paraId="03CA2B4B">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2"/>
              </w:rPr>
              <w:t>一次致命故障扣罚子系统合同金额的5%，一次严重故障扣罚子系统合同金额的3%，一次一般故障扣罚子系统合同金额的1%。</w:t>
            </w:r>
          </w:p>
        </w:tc>
      </w:tr>
      <w:tr w14:paraId="11D13464">
        <w:tblPrEx>
          <w:tblCellMar>
            <w:top w:w="0" w:type="dxa"/>
            <w:left w:w="108" w:type="dxa"/>
            <w:bottom w:w="0" w:type="dxa"/>
            <w:right w:w="108" w:type="dxa"/>
          </w:tblCellMar>
        </w:tblPrEx>
        <w:trPr>
          <w:trHeight w:val="967"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94BF60">
            <w:pPr>
              <w:widowControl/>
              <w:jc w:val="left"/>
              <w:rPr>
                <w:rFonts w:hint="eastAsia"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37709E5D">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27F34394">
        <w:tblPrEx>
          <w:tblCellMar>
            <w:top w:w="0" w:type="dxa"/>
            <w:left w:w="108" w:type="dxa"/>
            <w:bottom w:w="0" w:type="dxa"/>
            <w:right w:w="108" w:type="dxa"/>
          </w:tblCellMar>
        </w:tblPrEx>
        <w:trPr>
          <w:trHeight w:val="1416"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4145C95">
            <w:pPr>
              <w:widowControl/>
              <w:jc w:val="left"/>
              <w:rPr>
                <w:rFonts w:hint="eastAsia"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3CEAAE0">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42E16F28">
            <w:pPr>
              <w:widowControl/>
              <w:jc w:val="left"/>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评价日期：</w:t>
            </w:r>
          </w:p>
        </w:tc>
      </w:tr>
      <w:tr w14:paraId="019D3D4A">
        <w:tblPrEx>
          <w:tblCellMar>
            <w:top w:w="0" w:type="dxa"/>
            <w:left w:w="108" w:type="dxa"/>
            <w:bottom w:w="0" w:type="dxa"/>
            <w:right w:w="108" w:type="dxa"/>
          </w:tblCellMar>
        </w:tblPrEx>
        <w:trPr>
          <w:trHeight w:val="706" w:hRule="atLeast"/>
        </w:trPr>
        <w:tc>
          <w:tcPr>
            <w:tcW w:w="4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619561">
            <w:pPr>
              <w:rPr>
                <w:rFonts w:hint="eastAsia" w:ascii="仿宋" w:hAnsi="仿宋" w:eastAsia="仿宋"/>
                <w:bCs/>
                <w:sz w:val="24"/>
                <w:szCs w:val="24"/>
              </w:rPr>
            </w:pPr>
            <w:r>
              <w:rPr>
                <w:rFonts w:hint="eastAsia" w:ascii="仿宋" w:hAnsi="仿宋" w:eastAsia="仿宋"/>
                <w:bCs/>
                <w:sz w:val="24"/>
                <w:szCs w:val="24"/>
              </w:rPr>
              <w:t>监理单位（盖章）：</w:t>
            </w:r>
          </w:p>
          <w:p w14:paraId="00912617">
            <w:pPr>
              <w:rPr>
                <w:rFonts w:hint="eastAsia" w:ascii="仿宋" w:hAnsi="仿宋" w:eastAsia="仿宋"/>
                <w:bCs/>
                <w:sz w:val="22"/>
              </w:rPr>
            </w:pPr>
          </w:p>
          <w:p w14:paraId="200C933B">
            <w:pPr>
              <w:rPr>
                <w:rFonts w:hint="eastAsia" w:ascii="仿宋" w:hAnsi="仿宋" w:eastAsia="仿宋"/>
                <w:bCs/>
                <w:sz w:val="22"/>
              </w:rPr>
            </w:pPr>
          </w:p>
          <w:p w14:paraId="6477E1C1">
            <w:pPr>
              <w:rPr>
                <w:rFonts w:hint="eastAsia" w:ascii="仿宋" w:hAnsi="仿宋" w:eastAsia="仿宋"/>
                <w:sz w:val="24"/>
                <w:szCs w:val="24"/>
              </w:rPr>
            </w:pPr>
            <w:r>
              <w:rPr>
                <w:rFonts w:hint="eastAsia" w:ascii="仿宋" w:hAnsi="仿宋" w:eastAsia="仿宋"/>
                <w:bCs/>
                <w:sz w:val="24"/>
                <w:szCs w:val="24"/>
              </w:rPr>
              <w:t>监理工程师：</w:t>
            </w:r>
            <w:r>
              <w:rPr>
                <w:rFonts w:ascii="仿宋" w:hAnsi="仿宋" w:eastAsia="仿宋"/>
                <w:sz w:val="24"/>
                <w:szCs w:val="24"/>
              </w:rPr>
              <w:t>____________</w:t>
            </w:r>
          </w:p>
          <w:p w14:paraId="39A45401">
            <w:pPr>
              <w:rPr>
                <w:sz w:val="22"/>
                <w:szCs w:val="21"/>
              </w:rPr>
            </w:pPr>
            <w:r>
              <w:rPr>
                <w:rFonts w:hint="eastAsia" w:ascii="仿宋" w:hAnsi="仿宋" w:eastAsia="仿宋"/>
                <w:bCs/>
                <w:sz w:val="24"/>
                <w:szCs w:val="24"/>
              </w:rPr>
              <w:t>日      期：</w:t>
            </w:r>
            <w:r>
              <w:rPr>
                <w:rFonts w:ascii="仿宋" w:hAnsi="仿宋" w:eastAsia="仿宋"/>
                <w:sz w:val="24"/>
                <w:szCs w:val="24"/>
              </w:rPr>
              <w:t>____________</w:t>
            </w:r>
          </w:p>
        </w:tc>
        <w:tc>
          <w:tcPr>
            <w:tcW w:w="4143" w:type="dxa"/>
            <w:tcBorders>
              <w:top w:val="single" w:color="auto" w:sz="4" w:space="0"/>
              <w:left w:val="single" w:color="auto" w:sz="4" w:space="0"/>
              <w:bottom w:val="single" w:color="auto" w:sz="4" w:space="0"/>
              <w:right w:val="single" w:color="auto" w:sz="4" w:space="0"/>
            </w:tcBorders>
            <w:shd w:val="clear" w:color="auto" w:fill="auto"/>
            <w:vAlign w:val="center"/>
          </w:tcPr>
          <w:p w14:paraId="7A69B833">
            <w:pPr>
              <w:rPr>
                <w:rFonts w:hint="eastAsia" w:ascii="仿宋" w:hAnsi="仿宋" w:eastAsia="仿宋"/>
                <w:bCs/>
                <w:sz w:val="24"/>
                <w:szCs w:val="24"/>
              </w:rPr>
            </w:pPr>
            <w:r>
              <w:rPr>
                <w:rFonts w:hint="eastAsia" w:ascii="仿宋" w:hAnsi="仿宋" w:eastAsia="仿宋"/>
                <w:bCs/>
                <w:sz w:val="24"/>
                <w:szCs w:val="24"/>
              </w:rPr>
              <w:t>审计单位（盖章）：</w:t>
            </w:r>
          </w:p>
          <w:p w14:paraId="7AFB23F8">
            <w:pPr>
              <w:rPr>
                <w:rFonts w:hint="eastAsia" w:ascii="仿宋" w:hAnsi="仿宋" w:eastAsia="仿宋"/>
                <w:bCs/>
                <w:sz w:val="22"/>
              </w:rPr>
            </w:pPr>
          </w:p>
          <w:p w14:paraId="3FD1775C">
            <w:pPr>
              <w:rPr>
                <w:rFonts w:hint="eastAsia" w:ascii="仿宋" w:hAnsi="仿宋" w:eastAsia="仿宋"/>
                <w:bCs/>
                <w:sz w:val="22"/>
              </w:rPr>
            </w:pPr>
          </w:p>
          <w:p w14:paraId="770A483A">
            <w:pPr>
              <w:rPr>
                <w:rFonts w:hint="eastAsia" w:ascii="仿宋" w:hAnsi="仿宋" w:eastAsia="仿宋"/>
                <w:sz w:val="24"/>
                <w:szCs w:val="24"/>
              </w:rPr>
            </w:pPr>
            <w:r>
              <w:rPr>
                <w:rFonts w:hint="eastAsia" w:ascii="仿宋" w:hAnsi="仿宋" w:eastAsia="仿宋"/>
                <w:bCs/>
                <w:sz w:val="24"/>
                <w:szCs w:val="24"/>
              </w:rPr>
              <w:t>单位代表：</w:t>
            </w:r>
            <w:r>
              <w:rPr>
                <w:rFonts w:ascii="仿宋" w:hAnsi="仿宋" w:eastAsia="仿宋"/>
                <w:sz w:val="24"/>
                <w:szCs w:val="24"/>
              </w:rPr>
              <w:t>____________</w:t>
            </w:r>
          </w:p>
          <w:p w14:paraId="2ECB8916">
            <w:pPr>
              <w:widowControl/>
              <w:jc w:val="left"/>
              <w:rPr>
                <w:rFonts w:hint="eastAsia" w:ascii="仿宋" w:hAnsi="仿宋" w:eastAsia="仿宋" w:cs="宋体"/>
                <w:color w:val="000000"/>
                <w:kern w:val="0"/>
                <w:sz w:val="24"/>
                <w:szCs w:val="24"/>
              </w:rPr>
            </w:pPr>
            <w:r>
              <w:rPr>
                <w:rFonts w:hint="eastAsia" w:ascii="仿宋" w:hAnsi="仿宋" w:eastAsia="仿宋"/>
                <w:bCs/>
                <w:sz w:val="24"/>
                <w:szCs w:val="24"/>
              </w:rPr>
              <w:t>日    期：</w:t>
            </w:r>
            <w:r>
              <w:rPr>
                <w:rFonts w:ascii="仿宋" w:hAnsi="仿宋" w:eastAsia="仿宋"/>
                <w:sz w:val="24"/>
                <w:szCs w:val="24"/>
              </w:rPr>
              <w:t>____________</w:t>
            </w:r>
          </w:p>
        </w:tc>
      </w:tr>
    </w:tbl>
    <w:p w14:paraId="5FCE2370">
      <w:pPr>
        <w:pStyle w:val="5"/>
      </w:pPr>
      <w:r>
        <w:rPr>
          <w:rFonts w:hint="eastAsia"/>
        </w:rPr>
        <w:t xml:space="preserve"> </w:t>
      </w:r>
      <w:r>
        <w:rPr>
          <w:rFonts w:hint="eastAsia" w:ascii="仿宋" w:hAnsi="仿宋" w:eastAsia="仿宋" w:cs="宋体"/>
          <w:color w:val="000000"/>
          <w:kern w:val="0"/>
          <w:sz w:val="22"/>
        </w:rPr>
        <w:t>注：可根据实际情况修改</w:t>
      </w:r>
    </w:p>
    <w:p w14:paraId="43B70227"/>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长城仿宋">
    <w:altName w:val="仿宋"/>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B0933">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5B9E025B">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3GF10gAAAAMBAAAPAAAAAAAAAAEAIAAAACIAAABkcnMvZG93bnJldi54bWxQSwECFAAU&#10;AAAACACHTuJAeY0S8zACAABTBAAADgAAAAAAAAABACAAAAAhAQAAZHJzL2Uyb0RvYy54bWxQSwUG&#10;AAAAAAYABgBZAQAAwwUAAAAA&#10;">
              <v:fill on="f" focussize="0,0"/>
              <v:stroke on="f" weight="0.5pt"/>
              <v:imagedata o:title=""/>
              <o:lock v:ext="edit" aspectratio="f"/>
              <v:textbox inset="0mm,0mm,0mm,0mm" style="mso-fit-shape-to-text:t;">
                <w:txbxContent>
                  <w:p w14:paraId="5B9E025B">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2476A"/>
    <w:multiLevelType w:val="multilevel"/>
    <w:tmpl w:val="8BF2476A"/>
    <w:lvl w:ilvl="0" w:tentative="0">
      <w:start w:val="1"/>
      <w:numFmt w:val="chineseCountingThousand"/>
      <w:lvlText w:val="%1、"/>
      <w:lvlJc w:val="left"/>
      <w:pPr>
        <w:ind w:left="420" w:hanging="420"/>
      </w:pPr>
      <w:rPr>
        <w:rFonts w:hint="eastAsia" w:ascii="仿宋" w:hAnsi="仿宋" w:eastAsia="仿宋" w:cs="仿宋"/>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28A6483"/>
    <w:multiLevelType w:val="singleLevel"/>
    <w:tmpl w:val="528A6483"/>
    <w:lvl w:ilvl="0" w:tentative="0">
      <w:start w:val="1"/>
      <w:numFmt w:val="decimal"/>
      <w:lvlText w:val="(%1)"/>
      <w:lvlJc w:val="left"/>
      <w:pPr>
        <w:ind w:left="567" w:hanging="425"/>
      </w:pPr>
      <w:rPr>
        <w:rFonts w:hint="default" w:ascii="仿宋" w:hAnsi="仿宋" w:eastAsia="仿宋" w:cs="仿宋"/>
        <w:sz w:val="24"/>
        <w:szCs w:val="24"/>
      </w:rPr>
    </w:lvl>
  </w:abstractNum>
  <w:abstractNum w:abstractNumId="2">
    <w:nsid w:val="532A4116"/>
    <w:multiLevelType w:val="singleLevel"/>
    <w:tmpl w:val="532A4116"/>
    <w:lvl w:ilvl="0" w:tentative="0">
      <w:start w:val="1"/>
      <w:numFmt w:val="decimal"/>
      <w:lvlText w:val="(%1)"/>
      <w:lvlJc w:val="left"/>
      <w:pPr>
        <w:ind w:left="425" w:hanging="425"/>
      </w:pPr>
      <w:rPr>
        <w:rFonts w:hint="default" w:ascii="仿宋" w:hAnsi="仿宋" w:eastAsia="仿宋" w:cs="仿宋"/>
        <w:sz w:val="24"/>
        <w:szCs w:val="24"/>
      </w:rPr>
    </w:lvl>
  </w:abstractNum>
  <w:abstractNum w:abstractNumId="3">
    <w:nsid w:val="5B01ADC1"/>
    <w:multiLevelType w:val="singleLevel"/>
    <w:tmpl w:val="5B01ADC1"/>
    <w:lvl w:ilvl="0" w:tentative="0">
      <w:start w:val="1"/>
      <w:numFmt w:val="decimal"/>
      <w:lvlText w:val="(%1)"/>
      <w:lvlJc w:val="left"/>
      <w:pPr>
        <w:ind w:left="425" w:hanging="425"/>
      </w:pPr>
      <w:rPr>
        <w:rFonts w:hint="default" w:ascii="仿宋" w:hAnsi="仿宋" w:eastAsia="仿宋" w:cs="仿宋"/>
        <w:sz w:val="24"/>
        <w:szCs w:val="24"/>
      </w:rPr>
    </w:lvl>
  </w:abstractNum>
  <w:abstractNum w:abstractNumId="4">
    <w:nsid w:val="66111CA5"/>
    <w:multiLevelType w:val="singleLevel"/>
    <w:tmpl w:val="66111CA5"/>
    <w:lvl w:ilvl="0" w:tentative="0">
      <w:start w:val="1"/>
      <w:numFmt w:val="chineseCounting"/>
      <w:suff w:val="nothing"/>
      <w:lvlText w:val="（%1）"/>
      <w:lvlJc w:val="left"/>
      <w:pPr>
        <w:ind w:left="-641"/>
      </w:pPr>
      <w:rPr>
        <w:rFonts w:hint="eastAsia"/>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jMjZmZmM4OTVkYjdmYjM0ZGIwYzdlMDExOTkxODgifQ=="/>
  </w:docVars>
  <w:rsids>
    <w:rsidRoot w:val="7DF965E5"/>
    <w:rsid w:val="005E623F"/>
    <w:rsid w:val="007A49DF"/>
    <w:rsid w:val="009010A4"/>
    <w:rsid w:val="009D6AF4"/>
    <w:rsid w:val="00A24FBE"/>
    <w:rsid w:val="033C544E"/>
    <w:rsid w:val="03C60BD3"/>
    <w:rsid w:val="066A1827"/>
    <w:rsid w:val="070752C8"/>
    <w:rsid w:val="081906D7"/>
    <w:rsid w:val="0B2823DD"/>
    <w:rsid w:val="0B541A65"/>
    <w:rsid w:val="0C1C1816"/>
    <w:rsid w:val="0CE8336F"/>
    <w:rsid w:val="0DE173BA"/>
    <w:rsid w:val="0DE85E53"/>
    <w:rsid w:val="0ED57E1D"/>
    <w:rsid w:val="0F136F00"/>
    <w:rsid w:val="10853E2D"/>
    <w:rsid w:val="10E56B86"/>
    <w:rsid w:val="11791DC9"/>
    <w:rsid w:val="118C2B45"/>
    <w:rsid w:val="122356AC"/>
    <w:rsid w:val="122946DB"/>
    <w:rsid w:val="12DD6230"/>
    <w:rsid w:val="16D74CB7"/>
    <w:rsid w:val="1B2D6578"/>
    <w:rsid w:val="1D002390"/>
    <w:rsid w:val="1E114F52"/>
    <w:rsid w:val="218617B3"/>
    <w:rsid w:val="231F3C6E"/>
    <w:rsid w:val="24863878"/>
    <w:rsid w:val="2A691C72"/>
    <w:rsid w:val="354D409E"/>
    <w:rsid w:val="367B5207"/>
    <w:rsid w:val="36FD4B25"/>
    <w:rsid w:val="37971BCD"/>
    <w:rsid w:val="37AA47E1"/>
    <w:rsid w:val="3A957A47"/>
    <w:rsid w:val="3D0221DE"/>
    <w:rsid w:val="3DA96970"/>
    <w:rsid w:val="3DB37034"/>
    <w:rsid w:val="3F64271E"/>
    <w:rsid w:val="40055B41"/>
    <w:rsid w:val="40447C4E"/>
    <w:rsid w:val="40DC4AF4"/>
    <w:rsid w:val="410858E9"/>
    <w:rsid w:val="45E47AE8"/>
    <w:rsid w:val="47AB7721"/>
    <w:rsid w:val="48A46562"/>
    <w:rsid w:val="48A97EF5"/>
    <w:rsid w:val="48F9073D"/>
    <w:rsid w:val="497D499A"/>
    <w:rsid w:val="4A851D59"/>
    <w:rsid w:val="4BBB054F"/>
    <w:rsid w:val="4E8A2033"/>
    <w:rsid w:val="541C3BC8"/>
    <w:rsid w:val="55E53FF3"/>
    <w:rsid w:val="57236B81"/>
    <w:rsid w:val="58CF3F50"/>
    <w:rsid w:val="5A074538"/>
    <w:rsid w:val="5AB346C0"/>
    <w:rsid w:val="656211BC"/>
    <w:rsid w:val="665803F5"/>
    <w:rsid w:val="67902011"/>
    <w:rsid w:val="68D67EF7"/>
    <w:rsid w:val="68F02638"/>
    <w:rsid w:val="691B497C"/>
    <w:rsid w:val="697F53AB"/>
    <w:rsid w:val="6DA249F3"/>
    <w:rsid w:val="6FE50A20"/>
    <w:rsid w:val="70AE175A"/>
    <w:rsid w:val="71F94C57"/>
    <w:rsid w:val="7238752D"/>
    <w:rsid w:val="74F3598D"/>
    <w:rsid w:val="762A51AE"/>
    <w:rsid w:val="76496557"/>
    <w:rsid w:val="764A3CD3"/>
    <w:rsid w:val="76BD26F7"/>
    <w:rsid w:val="777C610E"/>
    <w:rsid w:val="7D350511"/>
    <w:rsid w:val="7DF96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4"/>
    <w:unhideWhenUsed/>
    <w:qFormat/>
    <w:uiPriority w:val="9"/>
    <w:pPr>
      <w:adjustRightInd w:val="0"/>
      <w:spacing w:before="160" w:after="160" w:line="560" w:lineRule="exact"/>
      <w:ind w:firstLine="200" w:firstLineChars="200"/>
      <w:outlineLvl w:val="2"/>
    </w:pPr>
    <w:rPr>
      <w:rFonts w:eastAsia="楷体"/>
      <w:bCs/>
      <w:szCs w:val="32"/>
    </w:rPr>
  </w:style>
  <w:style w:type="character" w:default="1" w:styleId="11">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4">
    <w:name w:val="文档正文"/>
    <w:basedOn w:val="1"/>
    <w:autoRedefine/>
    <w:qFormat/>
    <w:uiPriority w:val="0"/>
    <w:pPr>
      <w:ind w:firstLine="567"/>
    </w:pPr>
    <w:rPr>
      <w:rFonts w:ascii="长城仿宋" w:hAnsi="Times New Roman" w:eastAsia="长城仿宋" w:cs="Times New Roman"/>
      <w:sz w:val="28"/>
      <w:szCs w:val="20"/>
    </w:rPr>
  </w:style>
  <w:style w:type="paragraph" w:styleId="5">
    <w:name w:val="annotation text"/>
    <w:basedOn w:val="1"/>
    <w:unhideWhenUsed/>
    <w:qFormat/>
    <w:uiPriority w:val="0"/>
    <w:pPr>
      <w:jc w:val="left"/>
    </w:pPr>
  </w:style>
  <w:style w:type="paragraph" w:styleId="6">
    <w:name w:val="Body Text"/>
    <w:basedOn w:val="1"/>
    <w:next w:val="7"/>
    <w:qFormat/>
    <w:uiPriority w:val="99"/>
    <w:pPr>
      <w:spacing w:after="120"/>
    </w:pPr>
  </w:style>
  <w:style w:type="paragraph" w:styleId="7">
    <w:name w:val="Body Text First Indent"/>
    <w:basedOn w:val="6"/>
    <w:qFormat/>
    <w:uiPriority w:val="0"/>
    <w:pPr>
      <w:autoSpaceDE w:val="0"/>
      <w:autoSpaceDN w:val="0"/>
      <w:adjustRightInd w:val="0"/>
      <w:ind w:firstLine="420" w:firstLineChars="100"/>
      <w:jc w:val="left"/>
    </w:pPr>
    <w:rPr>
      <w:rFonts w:ascii="仿宋_GB2312"/>
      <w:b/>
      <w:kern w:val="0"/>
      <w:sz w:val="32"/>
      <w:szCs w:val="32"/>
    </w:rPr>
  </w:style>
  <w:style w:type="paragraph" w:styleId="8">
    <w:name w:val="footer"/>
    <w:basedOn w:val="1"/>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styleId="12">
    <w:name w:val="Emphasis"/>
    <w:basedOn w:val="11"/>
    <w:qFormat/>
    <w:uiPriority w:val="0"/>
    <w:rPr>
      <w:i/>
    </w:rPr>
  </w:style>
  <w:style w:type="paragraph" w:styleId="13">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3787</Words>
  <Characters>3991</Characters>
  <Lines>118</Lines>
  <Paragraphs>127</Paragraphs>
  <TotalTime>0</TotalTime>
  <ScaleCrop>false</ScaleCrop>
  <LinksUpToDate>false</LinksUpToDate>
  <CharactersWithSpaces>4079</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2025-06-03T08:05:00Z</dcterms:created>
  <dc:creator>Paul Fu</dc:creator>
  <cp:lastModifiedBy>杨谨菲</cp:lastModifiedBy>
  <dcterms:modified xsi:type="dcterms:W3CDTF">2026-05-11T07:59:50Z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AA788C643B594226AEA2B674A9F29EE6_13</vt:lpwstr>
  </property>
  <property fmtid="{D5CDD505-2E9C-101B-9397-08002B2CF9AE}" pid="4" name="KSOTemplateDocerSaveRecord">
    <vt:lpwstr>eyJoZGlkIjoiMzEwNTM5NzYwMDRjMzkwZTVkZjY2ODkwMGIxNGU0OTUiLCJ1c2VySWQiOiIyMzA2MzE2NDMifQ==</vt:lpwstr>
  </property>
  <property fmtid="{D5CDD505-2E9C-101B-9397-08002B2CF9AE}" pid="5" name="5B77E7CEEC58BC6AFAE8886BEB80DBEB">
    <vt:lpwstr>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</vt:lpwstr>
  </property>
</Properties>
</file>