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hint="default" w:asciiTheme="minorEastAsia" w:hAnsiTheme="minorEastAsia" w:eastAsiaTheme="minorEastAsia" w:cstheme="minorEastAsia"/>
          <w:b/>
          <w:bCs/>
          <w:color w:val="000000"/>
          <w:sz w:val="28"/>
          <w:szCs w:val="28"/>
          <w:lang w:val="en-US" w:eastAsia="zh-CN"/>
        </w:rPr>
      </w:pPr>
      <w:r>
        <w:rPr>
          <w:rFonts w:hint="eastAsia" w:asciiTheme="minorEastAsia" w:hAnsiTheme="minorEastAsia" w:cstheme="minorEastAsia"/>
          <w:b/>
          <w:bCs/>
          <w:color w:val="000000"/>
          <w:sz w:val="28"/>
          <w:szCs w:val="28"/>
          <w:lang w:val="en-US" w:eastAsia="zh-CN"/>
        </w:rPr>
        <w:t>2026-2027年</w:t>
      </w:r>
      <w:r>
        <w:rPr>
          <w:rFonts w:hint="eastAsia" w:asciiTheme="minorEastAsia" w:hAnsiTheme="minorEastAsia" w:cstheme="minorEastAsia"/>
          <w:b/>
          <w:bCs/>
          <w:color w:val="000000"/>
          <w:sz w:val="28"/>
          <w:szCs w:val="28"/>
        </w:rPr>
        <w:t>网络安全及超融合设备维保</w:t>
      </w:r>
      <w:r>
        <w:rPr>
          <w:rFonts w:hint="eastAsia" w:asciiTheme="minorEastAsia" w:hAnsiTheme="minorEastAsia" w:cstheme="minorEastAsia"/>
          <w:b/>
          <w:bCs/>
          <w:color w:val="000000"/>
          <w:sz w:val="28"/>
          <w:szCs w:val="28"/>
          <w:lang w:val="en-US" w:eastAsia="zh-CN"/>
        </w:rPr>
        <w:t>服务采购需求</w:t>
      </w:r>
    </w:p>
    <w:p>
      <w:pPr>
        <w:adjustRightInd w:val="0"/>
        <w:snapToGrid w:val="0"/>
        <w:spacing w:line="360" w:lineRule="auto"/>
        <w:rPr>
          <w:rFonts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   </w:t>
      </w:r>
      <w:r>
        <w:rPr>
          <w:rFonts w:hint="eastAsia" w:asciiTheme="minorEastAsia" w:hAnsiTheme="minorEastAsia" w:cstheme="minorEastAsia"/>
          <w:b/>
          <w:bCs/>
          <w:color w:val="000000"/>
          <w:sz w:val="21"/>
          <w:szCs w:val="21"/>
          <w:lang w:val="en-US" w:eastAsia="zh-CN"/>
        </w:rPr>
        <w:t>1</w:t>
      </w:r>
      <w:r>
        <w:rPr>
          <w:rFonts w:hint="eastAsia" w:asciiTheme="minorEastAsia" w:hAnsiTheme="minorEastAsia" w:cstheme="minorEastAsia"/>
          <w:b/>
          <w:bCs/>
          <w:color w:val="000000"/>
          <w:sz w:val="21"/>
          <w:szCs w:val="21"/>
        </w:rPr>
        <w:t>.1 采购内容</w:t>
      </w:r>
    </w:p>
    <w:p>
      <w:pPr>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rPr>
        <w:t>网络设备、超融合设备及H3C交换机维保服务：</w:t>
      </w:r>
    </w:p>
    <w:p>
      <w:pPr>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lang w:val="en-US" w:eastAsia="zh-CN"/>
        </w:rPr>
        <w:t>1</w:t>
      </w:r>
      <w:r>
        <w:rPr>
          <w:rFonts w:hint="eastAsia" w:asciiTheme="minorEastAsia" w:hAnsiTheme="minorEastAsia" w:cstheme="minorEastAsia"/>
          <w:color w:val="000000"/>
          <w:sz w:val="21"/>
          <w:szCs w:val="21"/>
        </w:rPr>
        <w:t>.1.1 年度延保服务：硬件设备部分统一延保到</w:t>
      </w:r>
      <w:r>
        <w:rPr>
          <w:rFonts w:hint="eastAsia" w:asciiTheme="minorEastAsia" w:hAnsiTheme="minorEastAsia" w:cstheme="minorEastAsia"/>
          <w:b/>
          <w:bCs/>
          <w:color w:val="000000"/>
          <w:sz w:val="21"/>
          <w:szCs w:val="21"/>
        </w:rPr>
        <w:t>202</w:t>
      </w:r>
      <w:r>
        <w:rPr>
          <w:rFonts w:hint="eastAsia" w:asciiTheme="minorEastAsia" w:hAnsiTheme="minorEastAsia" w:cstheme="minorEastAsia"/>
          <w:b/>
          <w:bCs/>
          <w:color w:val="000000"/>
          <w:sz w:val="21"/>
          <w:szCs w:val="21"/>
          <w:lang w:val="en-US" w:eastAsia="zh-CN"/>
        </w:rPr>
        <w:t>7</w:t>
      </w:r>
      <w:r>
        <w:rPr>
          <w:rFonts w:hint="eastAsia" w:asciiTheme="minorEastAsia" w:hAnsiTheme="minorEastAsia" w:cstheme="minorEastAsia"/>
          <w:b/>
          <w:bCs/>
          <w:color w:val="000000"/>
          <w:sz w:val="21"/>
          <w:szCs w:val="21"/>
        </w:rPr>
        <w:t>年5月26日。</w:t>
      </w:r>
    </w:p>
    <w:p>
      <w:pPr>
        <w:pStyle w:val="2"/>
        <w:snapToGrid/>
        <w:spacing w:line="360" w:lineRule="auto"/>
        <w:ind w:firstLine="420" w:firstLineChars="200"/>
        <w:rPr>
          <w:rFonts w:asciiTheme="minorEastAsia" w:hAnsiTheme="minorEastAsia" w:cstheme="minorEastAsia"/>
          <w:color w:val="000000"/>
          <w:sz w:val="21"/>
          <w:szCs w:val="21"/>
        </w:rPr>
      </w:pPr>
      <w:r>
        <w:rPr>
          <w:rFonts w:hint="eastAsia" w:asciiTheme="minorEastAsia" w:hAnsiTheme="minorEastAsia" w:cstheme="minorEastAsia"/>
          <w:color w:val="000000"/>
          <w:sz w:val="21"/>
          <w:szCs w:val="21"/>
          <w:lang w:val="en-US" w:eastAsia="zh-CN"/>
        </w:rPr>
        <w:t>1</w:t>
      </w:r>
      <w:r>
        <w:rPr>
          <w:rFonts w:hint="eastAsia" w:asciiTheme="minorEastAsia" w:hAnsiTheme="minorEastAsia" w:cstheme="minorEastAsia"/>
          <w:color w:val="000000"/>
          <w:sz w:val="21"/>
          <w:szCs w:val="21"/>
        </w:rPr>
        <w:t>.1.2 涉及相关设备配套的系统软件及特征库，更新迭代到202</w:t>
      </w:r>
      <w:r>
        <w:rPr>
          <w:rFonts w:hint="eastAsia" w:asciiTheme="minorEastAsia" w:hAnsiTheme="minorEastAsia" w:cstheme="minorEastAsia"/>
          <w:color w:val="000000"/>
          <w:sz w:val="21"/>
          <w:szCs w:val="21"/>
          <w:lang w:val="en-US" w:eastAsia="zh-CN"/>
        </w:rPr>
        <w:t>7</w:t>
      </w:r>
      <w:r>
        <w:rPr>
          <w:rFonts w:hint="eastAsia" w:asciiTheme="minorEastAsia" w:hAnsiTheme="minorEastAsia" w:cstheme="minorEastAsia"/>
          <w:color w:val="000000"/>
          <w:sz w:val="21"/>
          <w:szCs w:val="21"/>
        </w:rPr>
        <w:t xml:space="preserve">年5月26日同期深信服和H3C全网发布的适配当前硬件资源的最新版本。 </w:t>
      </w:r>
    </w:p>
    <w:p>
      <w:pPr>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.1.3在延保服务期内如果硬件计算资源或者配置不支持新版软件的更新升级，保证正常使用的前提下可不升级，由采购方酌情评估是否更换硬件。</w:t>
      </w:r>
    </w:p>
    <w:p>
      <w:pPr>
        <w:pStyle w:val="2"/>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1.4服务机构应提供完整的设备保障管理体系，派驻人员应具有相关资质认证的工程师到达现场，与驻场运维工程师联合工作，并出具每次维保工作结束后的维保服务报告，报告应由驻场的运维工程师对维保实施过程成果进行联合验收，并签字确认，服务单位盖章。年度现场维保升级和巡检工作，每三个月进行一次，出具季度维保服务报告，巡检过程中发现的异常应形成联合工作团队，及时处理。</w:t>
      </w:r>
    </w:p>
    <w:p>
      <w:pPr>
        <w:pStyle w:val="2"/>
        <w:spacing w:line="360" w:lineRule="auto"/>
        <w:ind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.1.5 本服务项目涉及的所有软硬件产品，系统更新后，应对驻场运维人员进行相关的培训，确保对新功能的运维服务建立完整认知，更好服务于采购方的信息化建设。</w:t>
      </w:r>
    </w:p>
    <w:p>
      <w:pPr>
        <w:pStyle w:val="2"/>
        <w:spacing w:line="360" w:lineRule="auto"/>
        <w:ind w:firstLine="420" w:firstLineChars="200"/>
        <w:rPr>
          <w:rFonts w:asciiTheme="minorEastAsia" w:hAnsiTheme="minorEastAsia" w:cstheme="minorEastAsia"/>
          <w:b/>
          <w:bCs/>
          <w:color w:val="000000"/>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.1.6 应对服务过程相关产品在延保过程中出现的异常和隐患，及时以专业的书面报告责任人签字后向甲方汇报。</w:t>
      </w:r>
    </w:p>
    <w:p>
      <w:pPr>
        <w:pStyle w:val="5"/>
        <w:adjustRightInd w:val="0"/>
        <w:snapToGrid w:val="0"/>
        <w:spacing w:line="360" w:lineRule="auto"/>
        <w:ind w:firstLine="630"/>
        <w:rPr>
          <w:rFonts w:asciiTheme="minorEastAsia" w:hAnsiTheme="minorEastAsia" w:eastAsiaTheme="minorEastAsia" w:cstheme="minorEastAsia"/>
          <w:b/>
          <w:bCs/>
          <w:sz w:val="21"/>
          <w:szCs w:val="21"/>
        </w:rPr>
      </w:pPr>
    </w:p>
    <w:p>
      <w:pPr>
        <w:pStyle w:val="5"/>
        <w:adjustRightInd w:val="0"/>
        <w:snapToGrid w:val="0"/>
        <w:spacing w:line="360" w:lineRule="auto"/>
        <w:ind w:firstLine="630"/>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sz w:val="21"/>
          <w:szCs w:val="21"/>
          <w:lang w:val="en-US" w:eastAsia="zh-CN"/>
        </w:rPr>
        <w:t>1</w:t>
      </w:r>
      <w:r>
        <w:rPr>
          <w:rFonts w:hint="eastAsia" w:asciiTheme="minorEastAsia" w:hAnsiTheme="minorEastAsia" w:eastAsiaTheme="minorEastAsia" w:cstheme="minorEastAsia"/>
          <w:b/>
          <w:bCs/>
          <w:kern w:val="0"/>
          <w:sz w:val="21"/>
          <w:szCs w:val="21"/>
        </w:rPr>
        <w:t>.2 服务响应要求</w:t>
      </w:r>
    </w:p>
    <w:p>
      <w:pPr>
        <w:pStyle w:val="2"/>
        <w:spacing w:line="360" w:lineRule="auto"/>
        <w:ind w:left="420"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.2.1 安全和超融合产品提供7*24电话支持响应时效，一年365天全天候服务支持，30分钟内响应客户诉求。服务单位应提供专门服务热线，确保及时受理相关的服务。</w:t>
      </w:r>
    </w:p>
    <w:p>
      <w:pPr>
        <w:pStyle w:val="2"/>
        <w:spacing w:line="360" w:lineRule="auto"/>
        <w:ind w:left="420"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.2.2 重要考试节点，甲方提前48小时通知，由服务机构提供专业认证维保服务工程师，提供关键时段8小时/天驻场服务，全年不少于2天，高考第一天，中考查分第一天驻场时间从7:00-17:00。高考三天，中考三天，中考查分第一天，中考录取发布第一天提供时时响应服务。</w:t>
      </w:r>
    </w:p>
    <w:p>
      <w:pPr>
        <w:pStyle w:val="5"/>
        <w:adjustRightInd w:val="0"/>
        <w:snapToGrid w:val="0"/>
        <w:spacing w:line="360" w:lineRule="auto"/>
        <w:ind w:firstLine="630"/>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 xml:space="preserve">   </w:t>
      </w:r>
    </w:p>
    <w:p>
      <w:pPr>
        <w:pStyle w:val="5"/>
        <w:adjustRightInd w:val="0"/>
        <w:snapToGrid w:val="0"/>
        <w:spacing w:line="360" w:lineRule="auto"/>
        <w:ind w:firstLine="630"/>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lang w:val="en-US" w:eastAsia="zh-CN"/>
        </w:rPr>
        <w:t>1</w:t>
      </w:r>
      <w:r>
        <w:rPr>
          <w:rFonts w:hint="eastAsia" w:asciiTheme="minorEastAsia" w:hAnsiTheme="minorEastAsia" w:eastAsiaTheme="minorEastAsia" w:cstheme="minorEastAsia"/>
          <w:b/>
          <w:bCs/>
          <w:kern w:val="0"/>
          <w:sz w:val="21"/>
          <w:szCs w:val="21"/>
        </w:rPr>
        <w:t>.3 故障及处理要求</w:t>
      </w:r>
    </w:p>
    <w:p>
      <w:pPr>
        <w:pStyle w:val="2"/>
        <w:spacing w:line="360" w:lineRule="auto"/>
        <w:ind w:left="479" w:leftChars="228"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.3.1 在延保期内，超出维保的部分，如硬件故障，由采购方单独购买，服务单位提供上线更新和接入的配合服务，确保设备可以正常使用。</w:t>
      </w:r>
    </w:p>
    <w:p>
      <w:pPr>
        <w:pStyle w:val="2"/>
        <w:spacing w:line="360" w:lineRule="auto"/>
        <w:ind w:left="479" w:leftChars="228" w:firstLine="420" w:firstLineChars="200"/>
        <w:rPr>
          <w:rFonts w:asciiTheme="minorEastAsia" w:hAnsiTheme="minorEastAsia" w:cstheme="minorEastAsia"/>
          <w:sz w:val="21"/>
          <w:szCs w:val="21"/>
        </w:rPr>
      </w:pPr>
      <w:r>
        <w:rPr>
          <w:rFonts w:hint="eastAsia" w:asciiTheme="minorEastAsia" w:hAnsiTheme="minorEastAsia" w:cstheme="minorEastAsia"/>
          <w:sz w:val="21"/>
          <w:szCs w:val="21"/>
          <w:lang w:val="en-US" w:eastAsia="zh-CN"/>
        </w:rPr>
        <w:t>1</w:t>
      </w:r>
      <w:r>
        <w:rPr>
          <w:rFonts w:hint="eastAsia" w:asciiTheme="minorEastAsia" w:hAnsiTheme="minorEastAsia" w:cstheme="minorEastAsia"/>
          <w:sz w:val="21"/>
          <w:szCs w:val="21"/>
        </w:rPr>
        <w:t>.3.</w:t>
      </w:r>
      <w:r>
        <w:rPr>
          <w:rFonts w:hint="eastAsia" w:asciiTheme="minorEastAsia" w:hAnsiTheme="minorEastAsia" w:cstheme="minorEastAsia"/>
          <w:sz w:val="21"/>
          <w:szCs w:val="21"/>
          <w:lang w:val="en-US" w:eastAsia="zh-CN"/>
        </w:rPr>
        <w:t>2</w:t>
      </w:r>
      <w:r>
        <w:rPr>
          <w:rFonts w:hint="eastAsia" w:asciiTheme="minorEastAsia" w:hAnsiTheme="minorEastAsia" w:cstheme="minorEastAsia"/>
          <w:sz w:val="21"/>
          <w:szCs w:val="21"/>
        </w:rPr>
        <w:t xml:space="preserve"> 具体延保清单和工作标准细节详见附件1。</w:t>
      </w:r>
    </w:p>
    <w:p>
      <w:pPr>
        <w:pStyle w:val="2"/>
        <w:rPr>
          <w:rFonts w:asciiTheme="minorEastAsia" w:hAnsiTheme="minorEastAsia" w:cstheme="minorEastAsia"/>
          <w:sz w:val="21"/>
          <w:szCs w:val="21"/>
        </w:rPr>
        <w:sectPr>
          <w:pgSz w:w="11906" w:h="16838"/>
          <w:pgMar w:top="1440" w:right="1800" w:bottom="1440" w:left="1800" w:header="851" w:footer="992" w:gutter="0"/>
          <w:cols w:space="425" w:num="1"/>
          <w:docGrid w:type="lines" w:linePitch="312" w:charSpace="0"/>
        </w:sectPr>
      </w:pPr>
    </w:p>
    <w:p>
      <w:pPr>
        <w:pStyle w:val="2"/>
        <w:rPr>
          <w:rFonts w:asciiTheme="minorEastAsia" w:hAnsiTheme="minorEastAsia" w:cstheme="minorEastAsia"/>
          <w:sz w:val="21"/>
          <w:szCs w:val="21"/>
        </w:rPr>
      </w:pPr>
      <w:r>
        <w:rPr>
          <w:rFonts w:hint="eastAsia" w:asciiTheme="minorEastAsia" w:hAnsiTheme="minorEastAsia" w:cstheme="minorEastAsia"/>
          <w:sz w:val="21"/>
          <w:szCs w:val="21"/>
        </w:rPr>
        <w:t>附件1 延保清单及要求</w:t>
      </w:r>
    </w:p>
    <w:tbl>
      <w:tblPr>
        <w:tblStyle w:val="3"/>
        <w:tblW w:w="14324" w:type="dxa"/>
        <w:jc w:val="center"/>
        <w:tblLayout w:type="fixed"/>
        <w:tblCellMar>
          <w:top w:w="0" w:type="dxa"/>
          <w:left w:w="108" w:type="dxa"/>
          <w:bottom w:w="0" w:type="dxa"/>
          <w:right w:w="108" w:type="dxa"/>
        </w:tblCellMar>
      </w:tblPr>
      <w:tblGrid>
        <w:gridCol w:w="1459"/>
        <w:gridCol w:w="951"/>
        <w:gridCol w:w="1519"/>
        <w:gridCol w:w="2356"/>
        <w:gridCol w:w="1338"/>
        <w:gridCol w:w="1755"/>
        <w:gridCol w:w="1682"/>
        <w:gridCol w:w="974"/>
        <w:gridCol w:w="1166"/>
        <w:gridCol w:w="1124"/>
      </w:tblGrid>
      <w:tr>
        <w:tblPrEx>
          <w:tblCellMar>
            <w:top w:w="0" w:type="dxa"/>
            <w:left w:w="108" w:type="dxa"/>
            <w:bottom w:w="0" w:type="dxa"/>
            <w:right w:w="108" w:type="dxa"/>
          </w:tblCellMar>
        </w:tblPrEx>
        <w:trPr>
          <w:trHeight w:val="624" w:hRule="atLeast"/>
          <w:jc w:val="center"/>
        </w:trPr>
        <w:tc>
          <w:tcPr>
            <w:tcW w:w="145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产品类型</w:t>
            </w:r>
          </w:p>
        </w:tc>
        <w:tc>
          <w:tcPr>
            <w:tcW w:w="95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序号</w:t>
            </w:r>
          </w:p>
        </w:tc>
        <w:tc>
          <w:tcPr>
            <w:tcW w:w="151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采购时间</w:t>
            </w:r>
          </w:p>
        </w:tc>
        <w:tc>
          <w:tcPr>
            <w:tcW w:w="235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设备型号</w:t>
            </w:r>
          </w:p>
        </w:tc>
        <w:tc>
          <w:tcPr>
            <w:tcW w:w="133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设备SN码</w:t>
            </w:r>
          </w:p>
        </w:tc>
        <w:tc>
          <w:tcPr>
            <w:tcW w:w="175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网关ID</w:t>
            </w:r>
          </w:p>
        </w:tc>
        <w:tc>
          <w:tcPr>
            <w:tcW w:w="168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到期时间</w:t>
            </w:r>
          </w:p>
        </w:tc>
        <w:tc>
          <w:tcPr>
            <w:tcW w:w="97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210" w:firstLineChars="1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数量</w:t>
            </w:r>
          </w:p>
          <w:p>
            <w:pPr>
              <w:widowControl/>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（台/个）</w:t>
            </w:r>
          </w:p>
        </w:tc>
        <w:tc>
          <w:tcPr>
            <w:tcW w:w="116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续费</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年限</w:t>
            </w:r>
          </w:p>
        </w:tc>
        <w:tc>
          <w:tcPr>
            <w:tcW w:w="112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服务</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类别</w:t>
            </w:r>
          </w:p>
        </w:tc>
      </w:tr>
      <w:tr>
        <w:tblPrEx>
          <w:tblCellMar>
            <w:top w:w="0" w:type="dxa"/>
            <w:left w:w="108" w:type="dxa"/>
            <w:bottom w:w="0" w:type="dxa"/>
            <w:right w:w="108" w:type="dxa"/>
          </w:tblCellMar>
        </w:tblPrEx>
        <w:trPr>
          <w:trHeight w:val="624" w:hRule="atLeast"/>
          <w:jc w:val="center"/>
        </w:trPr>
        <w:tc>
          <w:tcPr>
            <w:tcW w:w="14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5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23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33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75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7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1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624" w:hRule="atLeast"/>
          <w:jc w:val="center"/>
        </w:trPr>
        <w:tc>
          <w:tcPr>
            <w:tcW w:w="145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5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23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33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75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7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16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restart"/>
            <w:tcBorders>
              <w:top w:val="single" w:color="auto" w:sz="4" w:space="0"/>
              <w:left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网全设备</w:t>
            </w:r>
          </w:p>
        </w:tc>
        <w:tc>
          <w:tcPr>
            <w:tcW w:w="95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51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AF-1000-FA40</w:t>
            </w:r>
          </w:p>
        </w:tc>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5062006410</w:t>
            </w:r>
          </w:p>
        </w:tc>
        <w:tc>
          <w:tcPr>
            <w:tcW w:w="17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58167194</w:t>
            </w:r>
          </w:p>
        </w:tc>
        <w:tc>
          <w:tcPr>
            <w:tcW w:w="168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w:t>
            </w:r>
          </w:p>
        </w:tc>
        <w:tc>
          <w:tcPr>
            <w:tcW w:w="151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AF-1000-FA40</w:t>
            </w:r>
          </w:p>
        </w:tc>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5062006387</w:t>
            </w:r>
          </w:p>
        </w:tc>
        <w:tc>
          <w:tcPr>
            <w:tcW w:w="17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55A9384E</w:t>
            </w:r>
          </w:p>
        </w:tc>
        <w:tc>
          <w:tcPr>
            <w:tcW w:w="168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w:t>
            </w:r>
          </w:p>
        </w:tc>
        <w:tc>
          <w:tcPr>
            <w:tcW w:w="151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420" w:firstLineChars="2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SIP-1000-B400</w:t>
            </w:r>
          </w:p>
        </w:tc>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9C8E000126</w:t>
            </w:r>
          </w:p>
        </w:tc>
        <w:tc>
          <w:tcPr>
            <w:tcW w:w="17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74469127</w:t>
            </w:r>
          </w:p>
        </w:tc>
        <w:tc>
          <w:tcPr>
            <w:tcW w:w="168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420" w:firstLineChars="2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4</w:t>
            </w:r>
          </w:p>
        </w:tc>
        <w:tc>
          <w:tcPr>
            <w:tcW w:w="151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420" w:firstLineChars="2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STA-100-B440</w:t>
            </w:r>
          </w:p>
        </w:tc>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5071009811</w:t>
            </w:r>
          </w:p>
        </w:tc>
        <w:tc>
          <w:tcPr>
            <w:tcW w:w="17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B848D590</w:t>
            </w:r>
          </w:p>
        </w:tc>
        <w:tc>
          <w:tcPr>
            <w:tcW w:w="168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w:t>
            </w:r>
          </w:p>
        </w:tc>
        <w:tc>
          <w:tcPr>
            <w:tcW w:w="151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420" w:firstLineChars="2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STA-100-B440</w:t>
            </w:r>
          </w:p>
        </w:tc>
        <w:tc>
          <w:tcPr>
            <w:tcW w:w="1338"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5071009817</w:t>
            </w:r>
          </w:p>
        </w:tc>
        <w:tc>
          <w:tcPr>
            <w:tcW w:w="175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828DEA9B</w:t>
            </w:r>
          </w:p>
        </w:tc>
        <w:tc>
          <w:tcPr>
            <w:tcW w:w="1682"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ind w:firstLine="420" w:firstLineChars="2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6</w:t>
            </w:r>
          </w:p>
        </w:tc>
        <w:tc>
          <w:tcPr>
            <w:tcW w:w="151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AD-1000-D620</w:t>
            </w:r>
          </w:p>
        </w:tc>
        <w:tc>
          <w:tcPr>
            <w:tcW w:w="13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5071009938</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B68C03B7</w:t>
            </w:r>
          </w:p>
        </w:tc>
        <w:tc>
          <w:tcPr>
            <w:tcW w:w="16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000000" w:sz="4" w:space="0"/>
              <w:left w:val="single" w:color="000000" w:sz="4" w:space="0"/>
              <w:bottom w:val="single" w:color="000000"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000000" w:sz="4" w:space="0"/>
              <w:left w:val="single" w:color="auto"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w:t>
            </w:r>
          </w:p>
        </w:tc>
        <w:tc>
          <w:tcPr>
            <w:tcW w:w="1519"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18年12月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AD-1000-D620</w:t>
            </w:r>
          </w:p>
        </w:tc>
        <w:tc>
          <w:tcPr>
            <w:tcW w:w="13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5071009934</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166F8CE1</w:t>
            </w:r>
          </w:p>
        </w:tc>
        <w:tc>
          <w:tcPr>
            <w:tcW w:w="168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000000" w:sz="4" w:space="0"/>
              <w:left w:val="single" w:color="000000" w:sz="4" w:space="0"/>
              <w:bottom w:val="single" w:color="000000" w:sz="4" w:space="0"/>
              <w:right w:val="single" w:color="auto"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000000" w:sz="4" w:space="0"/>
              <w:left w:val="single" w:color="auto" w:sz="4" w:space="0"/>
              <w:bottom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w:t>
            </w:r>
          </w:p>
        </w:tc>
      </w:tr>
      <w:tr>
        <w:tblPrEx>
          <w:tblCellMar>
            <w:top w:w="0" w:type="dxa"/>
            <w:left w:w="108" w:type="dxa"/>
            <w:bottom w:w="0" w:type="dxa"/>
            <w:right w:w="108" w:type="dxa"/>
          </w:tblCellMar>
        </w:tblPrEx>
        <w:trPr>
          <w:trHeight w:val="270" w:hRule="atLeast"/>
          <w:jc w:val="center"/>
        </w:trPr>
        <w:tc>
          <w:tcPr>
            <w:tcW w:w="14324" w:type="dxa"/>
            <w:gridSpan w:val="10"/>
            <w:tcBorders>
              <w:top w:val="single" w:color="000000" w:sz="4" w:space="0"/>
              <w:left w:val="single" w:color="000000" w:sz="4" w:space="0"/>
              <w:right w:val="single" w:color="000000" w:sz="4" w:space="0"/>
            </w:tcBorders>
            <w:shd w:val="clear" w:color="auto" w:fill="FFFFFF"/>
            <w:vAlign w:val="center"/>
          </w:tcPr>
          <w:p>
            <w:pPr>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restart"/>
            <w:tcBorders>
              <w:top w:val="single" w:color="000000" w:sz="4" w:space="0"/>
              <w:left w:val="single" w:color="000000" w:sz="4" w:space="0"/>
              <w:right w:val="single" w:color="000000" w:sz="4" w:space="0"/>
            </w:tcBorders>
            <w:shd w:val="clear" w:color="auto" w:fill="FFFFFF"/>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超融合产品</w:t>
            </w: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aServer-P-2305</w:t>
            </w:r>
          </w:p>
        </w:tc>
        <w:tc>
          <w:tcPr>
            <w:tcW w:w="309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9T38000033、9T38000022、9T38000019</w:t>
            </w: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restart"/>
            <w:tcBorders>
              <w:top w:val="single" w:color="000000" w:sz="4" w:space="0"/>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w:t>
            </w:r>
          </w:p>
          <w:p>
            <w:pPr>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aServer-P-2305</w:t>
            </w:r>
          </w:p>
        </w:tc>
        <w:tc>
          <w:tcPr>
            <w:tcW w:w="309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9T38000050、9T38000041、9T38000055、9T38000037、9T38000051、9T38000042</w:t>
            </w: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6</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highlight w:val="yellow"/>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aServer-2005</w:t>
            </w:r>
          </w:p>
        </w:tc>
        <w:tc>
          <w:tcPr>
            <w:tcW w:w="3093" w:type="dxa"/>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9C3E000544、9C3E000487、9C3E000465</w:t>
            </w: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highlight w:val="yellow"/>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深信服计算服务器虚拟化软件V6.0</w:t>
            </w:r>
          </w:p>
        </w:tc>
        <w:tc>
          <w:tcPr>
            <w:tcW w:w="309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D8DE57026B003E7F</w:t>
            </w: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24</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深信服网络虚拟化软件V6.0</w:t>
            </w:r>
          </w:p>
        </w:tc>
        <w:tc>
          <w:tcPr>
            <w:tcW w:w="309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left"/>
              <w:rPr>
                <w:rFonts w:asciiTheme="minorEastAsia" w:hAnsiTheme="minorEastAsia" w:cstheme="minorEastAsia"/>
                <w:color w:val="000000"/>
                <w:kern w:val="0"/>
                <w:sz w:val="21"/>
                <w:szCs w:val="21"/>
              </w:rPr>
            </w:pP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24</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深信服虚拟存储软件V3.0</w:t>
            </w:r>
          </w:p>
        </w:tc>
        <w:tc>
          <w:tcPr>
            <w:tcW w:w="309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left"/>
              <w:rPr>
                <w:rFonts w:asciiTheme="minorEastAsia" w:hAnsiTheme="minorEastAsia" w:cstheme="minorEastAsia"/>
                <w:color w:val="000000"/>
                <w:kern w:val="0"/>
                <w:sz w:val="21"/>
                <w:szCs w:val="21"/>
              </w:rPr>
            </w:pP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24</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深信服云计算管理软件V6.0 企业版</w:t>
            </w:r>
          </w:p>
        </w:tc>
        <w:tc>
          <w:tcPr>
            <w:tcW w:w="309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left"/>
              <w:rPr>
                <w:rFonts w:asciiTheme="minorEastAsia" w:hAnsiTheme="minorEastAsia" w:cstheme="minorEastAsia"/>
                <w:color w:val="000000"/>
                <w:kern w:val="0"/>
                <w:sz w:val="21"/>
                <w:szCs w:val="21"/>
              </w:rPr>
            </w:pP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202</w:t>
            </w:r>
            <w:r>
              <w:rPr>
                <w:rFonts w:hint="eastAsia" w:asciiTheme="minorEastAsia" w:hAnsiTheme="minorEastAsia" w:cstheme="minorEastAsia"/>
                <w:color w:val="000000"/>
                <w:kern w:val="0"/>
                <w:sz w:val="21"/>
                <w:szCs w:val="21"/>
                <w:lang w:val="en-US" w:eastAsia="zh-CN"/>
              </w:rPr>
              <w:t>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24</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FF"/>
                <w:kern w:val="0"/>
                <w:sz w:val="21"/>
                <w:szCs w:val="21"/>
              </w:rPr>
            </w:pPr>
            <w:r>
              <w:rPr>
                <w:rFonts w:hint="eastAsia" w:asciiTheme="minorEastAsia" w:hAnsiTheme="minorEastAsia" w:cstheme="minorEastAsia"/>
                <w:color w:val="0000FF"/>
                <w:kern w:val="0"/>
                <w:sz w:val="21"/>
                <w:szCs w:val="21"/>
              </w:rPr>
              <w:t>1</w:t>
            </w:r>
          </w:p>
        </w:tc>
        <w:tc>
          <w:tcPr>
            <w:tcW w:w="1124" w:type="dxa"/>
            <w:vMerge w:val="continue"/>
            <w:tcBorders>
              <w:left w:val="single" w:color="auto" w:sz="4" w:space="0"/>
              <w:right w:val="single" w:color="000000" w:sz="4" w:space="0"/>
            </w:tcBorders>
            <w:shd w:val="clear" w:color="auto" w:fill="FFFFFF" w:themeFill="background1"/>
            <w:vAlign w:val="center"/>
          </w:tcPr>
          <w:p>
            <w:pPr>
              <w:jc w:val="center"/>
              <w:rPr>
                <w:rFonts w:asciiTheme="minorEastAsia" w:hAnsiTheme="minorEastAsia" w:cstheme="minorEastAsia"/>
                <w:color w:val="0000FF"/>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深信服持续数据保护软件V6.0</w:t>
            </w:r>
          </w:p>
        </w:tc>
        <w:tc>
          <w:tcPr>
            <w:tcW w:w="309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left"/>
              <w:rPr>
                <w:rFonts w:asciiTheme="minorEastAsia" w:hAnsiTheme="minorEastAsia" w:cstheme="minorEastAsia"/>
                <w:color w:val="000000"/>
                <w:kern w:val="0"/>
                <w:sz w:val="21"/>
                <w:szCs w:val="21"/>
              </w:rPr>
            </w:pP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FF"/>
                <w:kern w:val="0"/>
                <w:sz w:val="21"/>
                <w:szCs w:val="21"/>
              </w:rPr>
            </w:pPr>
            <w:r>
              <w:rPr>
                <w:rFonts w:hint="eastAsia" w:asciiTheme="minorEastAsia" w:hAnsiTheme="minorEastAsia" w:cstheme="minorEastAsia"/>
                <w:color w:val="0000FF"/>
                <w:kern w:val="0"/>
                <w:sz w:val="21"/>
                <w:szCs w:val="21"/>
              </w:rPr>
              <w:t>1</w:t>
            </w:r>
          </w:p>
        </w:tc>
        <w:tc>
          <w:tcPr>
            <w:tcW w:w="1124" w:type="dxa"/>
            <w:vMerge w:val="continue"/>
            <w:tcBorders>
              <w:left w:val="single" w:color="auto" w:sz="4" w:space="0"/>
              <w:bottom w:val="single" w:color="000000" w:sz="4" w:space="0"/>
              <w:right w:val="single" w:color="000000" w:sz="4" w:space="0"/>
            </w:tcBorders>
            <w:shd w:val="clear" w:color="auto" w:fill="FFFFFF" w:themeFill="background1"/>
            <w:vAlign w:val="center"/>
          </w:tcPr>
          <w:p>
            <w:pPr>
              <w:jc w:val="center"/>
              <w:rPr>
                <w:rFonts w:asciiTheme="minorEastAsia" w:hAnsiTheme="minorEastAsia" w:cstheme="minorEastAsia"/>
                <w:color w:val="0000FF"/>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授权</w:t>
            </w:r>
          </w:p>
        </w:tc>
        <w:tc>
          <w:tcPr>
            <w:tcW w:w="151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深信服持续数据保护授权软件V6.0</w:t>
            </w:r>
          </w:p>
        </w:tc>
        <w:tc>
          <w:tcPr>
            <w:tcW w:w="309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left"/>
              <w:rPr>
                <w:rFonts w:asciiTheme="minorEastAsia" w:hAnsiTheme="minorEastAsia" w:cstheme="minorEastAsia"/>
                <w:color w:val="000000"/>
                <w:kern w:val="0"/>
                <w:sz w:val="21"/>
                <w:szCs w:val="21"/>
              </w:rPr>
            </w:pP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25</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FF"/>
                <w:kern w:val="0"/>
                <w:sz w:val="21"/>
                <w:szCs w:val="21"/>
              </w:rPr>
            </w:pPr>
            <w:r>
              <w:rPr>
                <w:rFonts w:hint="eastAsia" w:asciiTheme="minorEastAsia" w:hAnsiTheme="minorEastAsia" w:cstheme="minorEastAsia"/>
                <w:color w:val="0000FF"/>
                <w:kern w:val="0"/>
                <w:sz w:val="21"/>
                <w:szCs w:val="21"/>
              </w:rPr>
              <w:t>1</w:t>
            </w:r>
          </w:p>
        </w:tc>
        <w:tc>
          <w:tcPr>
            <w:tcW w:w="1124" w:type="dxa"/>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FF"/>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000000" w:sz="4" w:space="0"/>
              <w:right w:val="single" w:color="000000"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vAD</w:t>
            </w:r>
          </w:p>
        </w:tc>
        <w:tc>
          <w:tcPr>
            <w:tcW w:w="151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vAD-100</w:t>
            </w:r>
          </w:p>
        </w:tc>
        <w:tc>
          <w:tcPr>
            <w:tcW w:w="30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D8DE57026B003E7F</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66"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p>
        </w:tc>
        <w:tc>
          <w:tcPr>
            <w:tcW w:w="1124" w:type="dxa"/>
            <w:tcBorders>
              <w:top w:val="single" w:color="000000" w:sz="4" w:space="0"/>
              <w:left w:val="single" w:color="auto" w:sz="4" w:space="0"/>
              <w:bottom w:val="single" w:color="000000" w:sz="4" w:space="0"/>
              <w:right w:val="single" w:color="000000" w:sz="4" w:space="0"/>
            </w:tcBorders>
            <w:shd w:val="clear" w:color="auto" w:fill="auto"/>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III</w:t>
            </w:r>
          </w:p>
        </w:tc>
      </w:tr>
      <w:tr>
        <w:tblPrEx>
          <w:tblCellMar>
            <w:top w:w="0" w:type="dxa"/>
            <w:left w:w="108" w:type="dxa"/>
            <w:bottom w:w="0" w:type="dxa"/>
            <w:right w:w="108" w:type="dxa"/>
          </w:tblCellMar>
        </w:tblPrEx>
        <w:trPr>
          <w:trHeight w:val="370" w:hRule="atLeast"/>
          <w:jc w:val="center"/>
        </w:trPr>
        <w:tc>
          <w:tcPr>
            <w:tcW w:w="14324" w:type="dxa"/>
            <w:gridSpan w:val="10"/>
            <w:tcBorders>
              <w:top w:val="single" w:color="auto" w:sz="4" w:space="0"/>
              <w:left w:val="single" w:color="auto" w:sz="4" w:space="0"/>
              <w:right w:val="single" w:color="000000" w:sz="4" w:space="0"/>
            </w:tcBorders>
            <w:vAlign w:val="center"/>
          </w:tcPr>
          <w:p>
            <w:pPr>
              <w:widowControl/>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370" w:hRule="atLeast"/>
          <w:jc w:val="center"/>
        </w:trPr>
        <w:tc>
          <w:tcPr>
            <w:tcW w:w="1459" w:type="dxa"/>
            <w:vMerge w:val="restart"/>
            <w:tcBorders>
              <w:top w:val="single" w:color="auto" w:sz="4" w:space="0"/>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p>
            <w:pPr>
              <w:widowControl/>
              <w:jc w:val="left"/>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 xml:space="preserve">网络交换机 </w:t>
            </w:r>
          </w:p>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ind w:firstLine="210" w:firstLineChars="100"/>
              <w:rPr>
                <w:rFonts w:asciiTheme="minorEastAsia" w:hAnsiTheme="minorEastAsia" w:cstheme="minorEastAsia"/>
                <w:color w:val="000000"/>
                <w:kern w:val="0"/>
                <w:sz w:val="21"/>
                <w:szCs w:val="21"/>
              </w:rPr>
            </w:pPr>
            <w:r>
              <w:rPr>
                <w:rFonts w:hint="eastAsia" w:asciiTheme="minorEastAsia" w:hAnsiTheme="minorEastAsia" w:cstheme="minorEastAsia"/>
                <w:sz w:val="21"/>
                <w:szCs w:val="21"/>
              </w:rPr>
              <w:t>H3C</w:t>
            </w:r>
          </w:p>
        </w:tc>
        <w:tc>
          <w:tcPr>
            <w:tcW w:w="151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Theme="minorEastAsia" w:hAnsiTheme="minorEastAsia" w:cstheme="minorEastAsia"/>
                <w:sz w:val="21"/>
                <w:szCs w:val="21"/>
              </w:rPr>
            </w:pPr>
            <w:r>
              <w:rPr>
                <w:rFonts w:hint="eastAsia" w:asciiTheme="minorEastAsia" w:hAnsiTheme="minorEastAsia" w:cstheme="minorEastAsia"/>
                <w:sz w:val="21"/>
                <w:szCs w:val="21"/>
              </w:rPr>
              <w:t>S6520 Series</w:t>
            </w:r>
          </w:p>
        </w:tc>
        <w:tc>
          <w:tcPr>
            <w:tcW w:w="3093" w:type="dxa"/>
            <w:gridSpan w:val="2"/>
            <w:tcBorders>
              <w:top w:val="single" w:color="000000" w:sz="4" w:space="0"/>
              <w:left w:val="single" w:color="auto"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210235A3J8H189000001</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210235A3J8H189000020</w:t>
            </w:r>
          </w:p>
        </w:tc>
        <w:tc>
          <w:tcPr>
            <w:tcW w:w="16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highlight w:val="none"/>
              </w:rPr>
            </w:pPr>
            <w:r>
              <w:rPr>
                <w:rFonts w:hint="eastAsia" w:asciiTheme="minorEastAsia" w:hAnsiTheme="minorEastAsia" w:cstheme="minorEastAsia"/>
                <w:color w:val="000000"/>
                <w:kern w:val="0"/>
                <w:sz w:val="21"/>
                <w:szCs w:val="21"/>
                <w:highlight w:val="none"/>
              </w:rPr>
              <w:t>2</w:t>
            </w:r>
          </w:p>
        </w:tc>
        <w:tc>
          <w:tcPr>
            <w:tcW w:w="1166" w:type="dxa"/>
            <w:tcBorders>
              <w:top w:val="single" w:color="000000" w:sz="4" w:space="0"/>
              <w:left w:val="single" w:color="000000" w:sz="4" w:space="0"/>
              <w:bottom w:val="single" w:color="000000" w:sz="4" w:space="0"/>
              <w:right w:val="single" w:color="auto" w:sz="4" w:space="0"/>
            </w:tcBorders>
            <w:shd w:val="clear" w:color="auto" w:fill="FFFFFF" w:themeFill="background1"/>
            <w:vAlign w:val="center"/>
          </w:tcPr>
          <w:p>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cstheme="minorEastAsia"/>
                <w:color w:val="000000"/>
                <w:kern w:val="0"/>
                <w:sz w:val="21"/>
                <w:szCs w:val="21"/>
                <w:lang w:val="en-US" w:eastAsia="zh-CN"/>
              </w:rPr>
              <w:t>1</w:t>
            </w:r>
          </w:p>
        </w:tc>
        <w:tc>
          <w:tcPr>
            <w:tcW w:w="1124" w:type="dxa"/>
            <w:vMerge w:val="restart"/>
            <w:tcBorders>
              <w:top w:val="single" w:color="000000" w:sz="4" w:space="0"/>
              <w:left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IIII</w:t>
            </w: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H3C</w:t>
            </w:r>
          </w:p>
        </w:tc>
        <w:tc>
          <w:tcPr>
            <w:tcW w:w="151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ind w:firstLine="210" w:firstLineChars="100"/>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Theme="minorEastAsia" w:hAnsiTheme="minorEastAsia" w:cstheme="minorEastAsia"/>
                <w:sz w:val="21"/>
                <w:szCs w:val="21"/>
              </w:rPr>
            </w:pPr>
            <w:r>
              <w:rPr>
                <w:rFonts w:hint="eastAsia" w:asciiTheme="minorEastAsia" w:hAnsiTheme="minorEastAsia" w:cstheme="minorEastAsia"/>
                <w:sz w:val="21"/>
                <w:szCs w:val="21"/>
              </w:rPr>
              <w:t>S5130 Series</w:t>
            </w:r>
          </w:p>
          <w:p>
            <w:pPr>
              <w:widowControl/>
              <w:jc w:val="center"/>
              <w:rPr>
                <w:rFonts w:asciiTheme="minorEastAsia" w:hAnsiTheme="minorEastAsia" w:cstheme="minorEastAsia"/>
                <w:color w:val="000000"/>
                <w:kern w:val="0"/>
                <w:sz w:val="21"/>
                <w:szCs w:val="21"/>
              </w:rPr>
            </w:pPr>
          </w:p>
        </w:tc>
        <w:tc>
          <w:tcPr>
            <w:tcW w:w="3093" w:type="dxa"/>
            <w:gridSpan w:val="2"/>
            <w:tcBorders>
              <w:top w:val="single" w:color="000000" w:sz="4" w:space="0"/>
              <w:left w:val="single" w:color="auto" w:sz="4" w:space="0"/>
              <w:bottom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219801A12L9191Q006GP</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219801A12L9191Q006NV</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219801A12L9191Q006ND</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219801A1DQ9186Q00074</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219801A1DQ9188Q0009G</w:t>
            </w:r>
          </w:p>
        </w:tc>
        <w:tc>
          <w:tcPr>
            <w:tcW w:w="1682"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highlight w:val="none"/>
              </w:rPr>
            </w:pPr>
            <w:r>
              <w:rPr>
                <w:rFonts w:hint="eastAsia" w:asciiTheme="minorEastAsia" w:hAnsiTheme="minorEastAsia" w:cstheme="minorEastAsia"/>
                <w:color w:val="000000"/>
                <w:kern w:val="0"/>
                <w:sz w:val="21"/>
                <w:szCs w:val="21"/>
                <w:highlight w:val="none"/>
              </w:rPr>
              <w:t>5</w:t>
            </w:r>
          </w:p>
        </w:tc>
        <w:tc>
          <w:tcPr>
            <w:tcW w:w="1166" w:type="dxa"/>
            <w:tcBorders>
              <w:top w:val="single" w:color="000000" w:sz="4" w:space="0"/>
              <w:left w:val="single" w:color="000000" w:sz="4" w:space="0"/>
              <w:bottom w:val="single" w:color="auto" w:sz="4" w:space="0"/>
              <w:right w:val="single" w:color="auto" w:sz="4" w:space="0"/>
            </w:tcBorders>
            <w:shd w:val="clear" w:color="auto" w:fill="FFFFFF" w:themeFill="background1"/>
            <w:vAlign w:val="center"/>
          </w:tcPr>
          <w:p>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cstheme="minorEastAsia"/>
                <w:color w:val="000000"/>
                <w:kern w:val="0"/>
                <w:sz w:val="21"/>
                <w:szCs w:val="21"/>
                <w:lang w:val="en-US" w:eastAsia="zh-CN"/>
              </w:rPr>
              <w:t>1</w:t>
            </w:r>
          </w:p>
        </w:tc>
        <w:tc>
          <w:tcPr>
            <w:tcW w:w="1124" w:type="dxa"/>
            <w:vMerge w:val="continue"/>
            <w:tcBorders>
              <w:left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H3C</w:t>
            </w:r>
          </w:p>
        </w:tc>
        <w:tc>
          <w:tcPr>
            <w:tcW w:w="151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19年3月</w:t>
            </w:r>
          </w:p>
        </w:tc>
        <w:tc>
          <w:tcPr>
            <w:tcW w:w="23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Theme="minorEastAsia" w:hAnsiTheme="minorEastAsia" w:cstheme="minorEastAsia"/>
                <w:sz w:val="21"/>
                <w:szCs w:val="21"/>
              </w:rPr>
            </w:pPr>
            <w:r>
              <w:rPr>
                <w:rFonts w:hint="eastAsia" w:asciiTheme="minorEastAsia" w:hAnsiTheme="minorEastAsia" w:cstheme="minorEastAsia"/>
                <w:sz w:val="21"/>
                <w:szCs w:val="21"/>
              </w:rPr>
              <w:t>S7510E</w:t>
            </w:r>
          </w:p>
        </w:tc>
        <w:tc>
          <w:tcPr>
            <w:tcW w:w="3093"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210235A25NX18C000002</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210235A25NX18C000009</w:t>
            </w:r>
          </w:p>
        </w:tc>
        <w:tc>
          <w:tcPr>
            <w:tcW w:w="168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highlight w:val="none"/>
              </w:rPr>
            </w:pPr>
            <w:r>
              <w:rPr>
                <w:rFonts w:hint="eastAsia" w:asciiTheme="minorEastAsia" w:hAnsiTheme="minorEastAsia" w:cstheme="minorEastAsia"/>
                <w:color w:val="000000"/>
                <w:kern w:val="0"/>
                <w:sz w:val="21"/>
                <w:szCs w:val="21"/>
                <w:highlight w:val="none"/>
              </w:rPr>
              <w:t>2</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cstheme="minorEastAsia"/>
                <w:color w:val="000000"/>
                <w:kern w:val="0"/>
                <w:sz w:val="21"/>
                <w:szCs w:val="21"/>
                <w:lang w:val="en-US" w:eastAsia="zh-CN"/>
              </w:rPr>
              <w:t>1</w:t>
            </w:r>
          </w:p>
        </w:tc>
        <w:tc>
          <w:tcPr>
            <w:tcW w:w="1124" w:type="dxa"/>
            <w:vMerge w:val="continue"/>
            <w:tcBorders>
              <w:left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H3C</w:t>
            </w:r>
          </w:p>
        </w:tc>
        <w:tc>
          <w:tcPr>
            <w:tcW w:w="151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1</w:t>
            </w:r>
            <w:r>
              <w:rPr>
                <w:rFonts w:hint="eastAsia" w:asciiTheme="minorEastAsia" w:hAnsiTheme="minorEastAsia" w:cstheme="minorEastAsia"/>
                <w:color w:val="000000"/>
                <w:kern w:val="0"/>
                <w:sz w:val="21"/>
                <w:szCs w:val="21"/>
                <w:lang w:val="en-US" w:eastAsia="zh-CN"/>
              </w:rPr>
              <w:t>8</w:t>
            </w:r>
            <w:r>
              <w:rPr>
                <w:rFonts w:hint="eastAsia" w:asciiTheme="minorEastAsia" w:hAnsiTheme="minorEastAsia" w:cstheme="minorEastAsia"/>
                <w:color w:val="000000"/>
                <w:kern w:val="0"/>
                <w:sz w:val="21"/>
                <w:szCs w:val="21"/>
              </w:rPr>
              <w:t>年</w:t>
            </w:r>
            <w:r>
              <w:rPr>
                <w:rFonts w:hint="eastAsia" w:asciiTheme="minorEastAsia" w:hAnsiTheme="minorEastAsia" w:cstheme="minorEastAsia"/>
                <w:color w:val="000000"/>
                <w:kern w:val="0"/>
                <w:sz w:val="21"/>
                <w:szCs w:val="21"/>
                <w:lang w:val="en-US" w:eastAsia="zh-CN"/>
              </w:rPr>
              <w:t>12</w:t>
            </w:r>
            <w:r>
              <w:rPr>
                <w:rFonts w:hint="eastAsia" w:asciiTheme="minorEastAsia" w:hAnsiTheme="minorEastAsia" w:cstheme="minorEastAsia"/>
                <w:color w:val="000000"/>
                <w:kern w:val="0"/>
                <w:sz w:val="21"/>
                <w:szCs w:val="21"/>
              </w:rPr>
              <w:t>月</w:t>
            </w:r>
          </w:p>
        </w:tc>
        <w:tc>
          <w:tcPr>
            <w:tcW w:w="23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Theme="minorEastAsia" w:hAnsiTheme="minorEastAsia" w:cstheme="minorEastAsia"/>
                <w:sz w:val="21"/>
                <w:szCs w:val="21"/>
              </w:rPr>
            </w:pPr>
            <w:r>
              <w:rPr>
                <w:rFonts w:hint="eastAsia" w:asciiTheme="minorEastAsia" w:hAnsiTheme="minorEastAsia" w:cstheme="minorEastAsia"/>
                <w:sz w:val="21"/>
                <w:szCs w:val="21"/>
              </w:rPr>
              <w:t>S5024PV3-EI-PWR</w:t>
            </w:r>
          </w:p>
          <w:p>
            <w:pPr>
              <w:widowControl/>
              <w:jc w:val="center"/>
              <w:rPr>
                <w:rFonts w:asciiTheme="minorEastAsia" w:hAnsiTheme="minorEastAsia" w:cstheme="minorEastAsia"/>
                <w:color w:val="000000"/>
                <w:kern w:val="0"/>
                <w:sz w:val="21"/>
                <w:szCs w:val="21"/>
              </w:rPr>
            </w:pPr>
          </w:p>
        </w:tc>
        <w:tc>
          <w:tcPr>
            <w:tcW w:w="3093"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219801A1EY9189Q005BB</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219801A1EY9189Q0056K</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219801A1EY9189Q0057N</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219801A1EY9189Q0056L</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219801A1EY918BQ0027V</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219801A1EY9189Q0056H</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P905NP550Y90887</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4NAC95C48Y723T2</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57Y391Y0AC1XN23</w:t>
            </w:r>
          </w:p>
        </w:tc>
        <w:tc>
          <w:tcPr>
            <w:tcW w:w="168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w:t>
            </w:r>
            <w:bookmarkStart w:id="0" w:name="_GoBack"/>
            <w:bookmarkEnd w:id="0"/>
            <w:r>
              <w:rPr>
                <w:rFonts w:hint="eastAsia" w:asciiTheme="minorEastAsia" w:hAnsiTheme="minorEastAsia" w:cstheme="minorEastAsia"/>
                <w:color w:val="000000"/>
                <w:kern w:val="0"/>
                <w:sz w:val="21"/>
                <w:szCs w:val="21"/>
              </w:rPr>
              <w:t>/26</w:t>
            </w:r>
          </w:p>
        </w:tc>
        <w:tc>
          <w:tcPr>
            <w:tcW w:w="9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9</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cstheme="minorEastAsia"/>
                <w:color w:val="000000"/>
                <w:kern w:val="0"/>
                <w:sz w:val="21"/>
                <w:szCs w:val="21"/>
                <w:lang w:val="en-US" w:eastAsia="zh-CN"/>
              </w:rPr>
              <w:t>1</w:t>
            </w:r>
          </w:p>
        </w:tc>
        <w:tc>
          <w:tcPr>
            <w:tcW w:w="1124" w:type="dxa"/>
            <w:vMerge w:val="continue"/>
            <w:tcBorders>
              <w:left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p>
        </w:tc>
      </w:tr>
      <w:tr>
        <w:tblPrEx>
          <w:tblCellMar>
            <w:top w:w="0" w:type="dxa"/>
            <w:left w:w="108" w:type="dxa"/>
            <w:bottom w:w="0" w:type="dxa"/>
            <w:right w:w="108" w:type="dxa"/>
          </w:tblCellMar>
        </w:tblPrEx>
        <w:trPr>
          <w:trHeight w:val="270" w:hRule="atLeast"/>
          <w:jc w:val="center"/>
        </w:trPr>
        <w:tc>
          <w:tcPr>
            <w:tcW w:w="1459" w:type="dxa"/>
            <w:vMerge w:val="continue"/>
            <w:tcBorders>
              <w:left w:val="single" w:color="auto" w:sz="4" w:space="0"/>
              <w:bottom w:val="single" w:color="auto" w:sz="4" w:space="0"/>
              <w:right w:val="single" w:color="auto" w:sz="4" w:space="0"/>
            </w:tcBorders>
            <w:vAlign w:val="center"/>
          </w:tcPr>
          <w:p>
            <w:pPr>
              <w:widowControl/>
              <w:jc w:val="left"/>
              <w:rPr>
                <w:rFonts w:asciiTheme="minorEastAsia" w:hAnsiTheme="minorEastAsia" w:cstheme="minorEastAsia"/>
                <w:color w:val="000000"/>
                <w:kern w:val="0"/>
                <w:sz w:val="21"/>
                <w:szCs w:val="21"/>
              </w:rPr>
            </w:pPr>
          </w:p>
        </w:tc>
        <w:tc>
          <w:tcPr>
            <w:tcW w:w="9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H3C</w:t>
            </w:r>
          </w:p>
        </w:tc>
        <w:tc>
          <w:tcPr>
            <w:tcW w:w="151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val="en-US" w:eastAsia="zh-CN"/>
              </w:rPr>
              <w:t>20</w:t>
            </w:r>
            <w:r>
              <w:rPr>
                <w:rFonts w:hint="eastAsia" w:asciiTheme="minorEastAsia" w:hAnsiTheme="minorEastAsia" w:cstheme="minorEastAsia"/>
                <w:color w:val="000000"/>
                <w:kern w:val="0"/>
                <w:sz w:val="21"/>
                <w:szCs w:val="21"/>
              </w:rPr>
              <w:t>年</w:t>
            </w:r>
            <w:r>
              <w:rPr>
                <w:rFonts w:hint="eastAsia" w:asciiTheme="minorEastAsia" w:hAnsiTheme="minorEastAsia" w:cstheme="minorEastAsia"/>
                <w:color w:val="000000"/>
                <w:kern w:val="0"/>
                <w:sz w:val="21"/>
                <w:szCs w:val="21"/>
                <w:lang w:val="en-US" w:eastAsia="zh-CN"/>
              </w:rPr>
              <w:t>12</w:t>
            </w:r>
            <w:r>
              <w:rPr>
                <w:rFonts w:hint="eastAsia" w:asciiTheme="minorEastAsia" w:hAnsiTheme="minorEastAsia" w:cstheme="minorEastAsia"/>
                <w:color w:val="000000"/>
                <w:kern w:val="0"/>
                <w:sz w:val="21"/>
                <w:szCs w:val="21"/>
              </w:rPr>
              <w:t>月</w:t>
            </w:r>
          </w:p>
        </w:tc>
        <w:tc>
          <w:tcPr>
            <w:tcW w:w="235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rPr>
                <w:rFonts w:asciiTheme="minorEastAsia" w:hAnsiTheme="minorEastAsia" w:cstheme="minorEastAsia"/>
                <w:sz w:val="21"/>
                <w:szCs w:val="21"/>
              </w:rPr>
            </w:pPr>
            <w:r>
              <w:rPr>
                <w:rFonts w:hint="eastAsia" w:asciiTheme="minorEastAsia" w:hAnsiTheme="minorEastAsia" w:cstheme="minorEastAsia"/>
                <w:sz w:val="21"/>
                <w:szCs w:val="21"/>
              </w:rPr>
              <w:t>S5048PV3-EI-PWR</w:t>
            </w:r>
          </w:p>
          <w:p>
            <w:pPr>
              <w:widowControl/>
              <w:jc w:val="center"/>
              <w:rPr>
                <w:rFonts w:asciiTheme="minorEastAsia" w:hAnsiTheme="minorEastAsia" w:cstheme="minorEastAsia"/>
                <w:color w:val="000000"/>
                <w:kern w:val="0"/>
                <w:sz w:val="21"/>
                <w:szCs w:val="21"/>
              </w:rPr>
            </w:pPr>
          </w:p>
        </w:tc>
        <w:tc>
          <w:tcPr>
            <w:tcW w:w="3093"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73D9N3A07AT2P1A</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823TY9VS182CX5A</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3P07D04A9Y1N0PC</w:t>
            </w:r>
          </w:p>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373479C1S3N9YTP</w:t>
            </w:r>
          </w:p>
        </w:tc>
        <w:tc>
          <w:tcPr>
            <w:tcW w:w="168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lang w:eastAsia="zh-CN"/>
              </w:rPr>
              <w:t>2026</w:t>
            </w:r>
            <w:r>
              <w:rPr>
                <w:rFonts w:hint="eastAsia" w:asciiTheme="minorEastAsia" w:hAnsiTheme="minorEastAsia" w:cstheme="minorEastAsia"/>
                <w:color w:val="000000"/>
                <w:kern w:val="0"/>
                <w:sz w:val="21"/>
                <w:szCs w:val="21"/>
              </w:rPr>
              <w:t>/5/26</w:t>
            </w:r>
          </w:p>
        </w:tc>
        <w:tc>
          <w:tcPr>
            <w:tcW w:w="9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r>
              <w:rPr>
                <w:rFonts w:hint="eastAsia" w:asciiTheme="minorEastAsia" w:hAnsiTheme="minorEastAsia" w:cstheme="minorEastAsia"/>
                <w:color w:val="000000"/>
                <w:kern w:val="0"/>
                <w:sz w:val="21"/>
                <w:szCs w:val="21"/>
              </w:rPr>
              <w:t>4</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jc w:val="center"/>
              <w:rPr>
                <w:rFonts w:hint="eastAsia" w:asciiTheme="minorEastAsia" w:hAnsiTheme="minorEastAsia" w:eastAsia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w:t>
            </w:r>
          </w:p>
        </w:tc>
        <w:tc>
          <w:tcPr>
            <w:tcW w:w="1124" w:type="dxa"/>
            <w:vMerge w:val="continue"/>
            <w:tcBorders>
              <w:left w:val="single" w:color="auto" w:sz="4" w:space="0"/>
              <w:bottom w:val="single" w:color="auto" w:sz="4" w:space="0"/>
              <w:right w:val="single" w:color="000000" w:sz="4" w:space="0"/>
            </w:tcBorders>
            <w:shd w:val="clear" w:color="auto" w:fill="FFFFFF" w:themeFill="background1"/>
            <w:vAlign w:val="center"/>
          </w:tcPr>
          <w:p>
            <w:pPr>
              <w:widowControl/>
              <w:jc w:val="center"/>
              <w:rPr>
                <w:rFonts w:asciiTheme="minorEastAsia" w:hAnsiTheme="minorEastAsia" w:cstheme="minorEastAsia"/>
                <w:color w:val="000000"/>
                <w:kern w:val="0"/>
                <w:sz w:val="21"/>
                <w:szCs w:val="21"/>
              </w:rPr>
            </w:pPr>
          </w:p>
        </w:tc>
      </w:tr>
    </w:tbl>
    <w:p>
      <w:pPr>
        <w:pStyle w:val="2"/>
        <w:rPr>
          <w:rFonts w:asciiTheme="minorEastAsia" w:hAnsiTheme="minorEastAsia" w:cstheme="minorEastAsia"/>
          <w:sz w:val="21"/>
          <w:szCs w:val="21"/>
        </w:rPr>
      </w:pPr>
      <w:r>
        <w:rPr>
          <w:rFonts w:hint="eastAsia" w:asciiTheme="minorEastAsia" w:hAnsiTheme="minorEastAsia" w:cstheme="minorEastAsia"/>
          <w:sz w:val="21"/>
          <w:szCs w:val="21"/>
        </w:rPr>
        <w:t>注：</w:t>
      </w:r>
      <w:r>
        <w:rPr>
          <w:rFonts w:hint="eastAsia" w:asciiTheme="minorEastAsia" w:hAnsiTheme="minorEastAsia" w:cstheme="minorEastAsia"/>
          <w:b/>
          <w:bCs/>
          <w:sz w:val="21"/>
          <w:szCs w:val="21"/>
        </w:rPr>
        <w:t xml:space="preserve"> I类</w:t>
      </w:r>
      <w:r>
        <w:rPr>
          <w:rFonts w:hint="eastAsia" w:asciiTheme="minorEastAsia" w:hAnsiTheme="minorEastAsia" w:cstheme="minorEastAsia"/>
          <w:sz w:val="21"/>
          <w:szCs w:val="21"/>
        </w:rPr>
        <w:t>：关键业务安全和计算设备物理故障，原厂提供备件支持的前提下，提供故障设备有偿维修，并提供本服务期内的软件维保现场服务，当年5-7月份故障机不能及时维修的前提下，提供2个月备用机服务，用于故障设备的周转和维修。</w:t>
      </w:r>
    </w:p>
    <w:p>
      <w:pPr>
        <w:pStyle w:val="2"/>
        <w:rPr>
          <w:rFonts w:asciiTheme="minorEastAsia" w:hAnsiTheme="minorEastAsia" w:cstheme="minorEastAsia"/>
          <w:sz w:val="21"/>
          <w:szCs w:val="21"/>
        </w:rPr>
      </w:pPr>
      <w:r>
        <w:rPr>
          <w:rFonts w:hint="eastAsia" w:asciiTheme="minorEastAsia" w:hAnsiTheme="minorEastAsia" w:cstheme="minorEastAsia"/>
          <w:sz w:val="21"/>
          <w:szCs w:val="21"/>
        </w:rPr>
        <w:t xml:space="preserve">   </w:t>
      </w:r>
      <w:r>
        <w:rPr>
          <w:rFonts w:hint="eastAsia" w:asciiTheme="minorEastAsia" w:hAnsiTheme="minorEastAsia" w:cstheme="minorEastAsia"/>
          <w:b/>
          <w:bCs/>
          <w:sz w:val="21"/>
          <w:szCs w:val="21"/>
        </w:rPr>
        <w:t>II类</w:t>
      </w:r>
      <w:r>
        <w:rPr>
          <w:rFonts w:hint="eastAsia" w:asciiTheme="minorEastAsia" w:hAnsiTheme="minorEastAsia" w:cstheme="minorEastAsia"/>
          <w:sz w:val="21"/>
          <w:szCs w:val="21"/>
        </w:rPr>
        <w:t>：运维管理和安全检查设备，在当年内有备件支持的前提下，提供故障有偿维修服务，并提供本服务期内的软件现场维保服务。</w:t>
      </w:r>
    </w:p>
    <w:p>
      <w:pPr>
        <w:pStyle w:val="2"/>
        <w:rPr>
          <w:rFonts w:asciiTheme="minorEastAsia" w:hAnsiTheme="minorEastAsia" w:cstheme="minorEastAsia"/>
          <w:sz w:val="21"/>
          <w:szCs w:val="21"/>
        </w:rPr>
      </w:pPr>
      <w:r>
        <w:rPr>
          <w:rFonts w:hint="eastAsia" w:asciiTheme="minorEastAsia" w:hAnsiTheme="minorEastAsia" w:cstheme="minorEastAsia"/>
          <w:sz w:val="21"/>
          <w:szCs w:val="21"/>
        </w:rPr>
        <w:t xml:space="preserve">  </w:t>
      </w:r>
      <w:r>
        <w:rPr>
          <w:rFonts w:hint="eastAsia" w:asciiTheme="minorEastAsia" w:hAnsiTheme="minorEastAsia" w:cstheme="minorEastAsia"/>
          <w:b/>
          <w:bCs/>
          <w:sz w:val="21"/>
          <w:szCs w:val="21"/>
        </w:rPr>
        <w:t xml:space="preserve"> III类</w:t>
      </w:r>
      <w:r>
        <w:rPr>
          <w:rFonts w:hint="eastAsia" w:asciiTheme="minorEastAsia" w:hAnsiTheme="minorEastAsia" w:cstheme="minorEastAsia"/>
          <w:sz w:val="21"/>
          <w:szCs w:val="21"/>
        </w:rPr>
        <w:t>：软件系统（无硬件），提供版本迭代升级和现场维护服务</w:t>
      </w:r>
    </w:p>
    <w:p>
      <w:pPr>
        <w:pStyle w:val="2"/>
        <w:rPr>
          <w:rFonts w:asciiTheme="minorEastAsia" w:hAnsiTheme="minorEastAsia" w:cstheme="minorEastAsia"/>
          <w:sz w:val="21"/>
          <w:szCs w:val="21"/>
        </w:rPr>
        <w:sectPr>
          <w:pgSz w:w="16838" w:h="11906" w:orient="landscape"/>
          <w:pgMar w:top="1800" w:right="1440" w:bottom="1800" w:left="1440" w:header="851" w:footer="992" w:gutter="0"/>
          <w:cols w:space="425" w:num="1"/>
          <w:docGrid w:type="lines" w:linePitch="312" w:charSpace="0"/>
        </w:sectPr>
      </w:pPr>
      <w:r>
        <w:rPr>
          <w:rFonts w:hint="eastAsia" w:asciiTheme="minorEastAsia" w:hAnsiTheme="minorEastAsia" w:cstheme="minorEastAsia"/>
          <w:sz w:val="21"/>
          <w:szCs w:val="21"/>
        </w:rPr>
        <w:t xml:space="preserve">  </w:t>
      </w:r>
      <w:r>
        <w:rPr>
          <w:rFonts w:hint="eastAsia" w:asciiTheme="minorEastAsia" w:hAnsiTheme="minorEastAsia" w:cstheme="minorEastAsia"/>
          <w:b/>
          <w:bCs/>
          <w:sz w:val="21"/>
          <w:szCs w:val="21"/>
        </w:rPr>
        <w:t>IIII类</w:t>
      </w:r>
      <w:r>
        <w:rPr>
          <w:rFonts w:hint="eastAsia" w:asciiTheme="minorEastAsia" w:hAnsiTheme="minorEastAsia" w:cstheme="minorEastAsia"/>
          <w:sz w:val="21"/>
          <w:szCs w:val="21"/>
        </w:rPr>
        <w:t>：网络交换设备，软件提供版本更新迭代，现场调试维护服务</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ZmFhODM0NjkyNWFkMmFkNGJkMGM0ZmNlNjRjYmQifQ=="/>
  </w:docVars>
  <w:rsids>
    <w:rsidRoot w:val="2DDF266E"/>
    <w:rsid w:val="090153C2"/>
    <w:rsid w:val="12453C10"/>
    <w:rsid w:val="2DDF266E"/>
    <w:rsid w:val="3F777716"/>
    <w:rsid w:val="405002E5"/>
    <w:rsid w:val="6F148BA5"/>
    <w:rsid w:val="76117A01"/>
    <w:rsid w:val="79BB2351"/>
    <w:rsid w:val="7E25D0B5"/>
    <w:rsid w:val="7EB9A1B2"/>
    <w:rsid w:val="C6FD9CDE"/>
    <w:rsid w:val="DA335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customStyle="1" w:styleId="5">
    <w:name w:val="00正文"/>
    <w:basedOn w:val="1"/>
    <w:qFormat/>
    <w:uiPriority w:val="0"/>
    <w:pPr>
      <w:spacing w:line="300" w:lineRule="auto"/>
      <w:ind w:firstLine="412" w:firstLineChars="196"/>
      <w:jc w:val="left"/>
    </w:pPr>
    <w:rPr>
      <w:rFonts w:ascii="宋体" w:hAnsi="宋体" w:eastAsia="宋体" w:cs="宋体"/>
      <w:color w:val="000000"/>
      <w:sz w:val="24"/>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1394</Words>
  <Characters>2549</Characters>
  <Lines>0</Lines>
  <Paragraphs>0</Paragraphs>
  <TotalTime>28</TotalTime>
  <ScaleCrop>false</ScaleCrop>
  <LinksUpToDate>false</LinksUpToDate>
  <CharactersWithSpaces>2581</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2024-04-18T17:07:00Z</dcterms:created>
  <dc:creator>63164</dc:creator>
  <cp:lastModifiedBy>lan</cp:lastModifiedBy>
  <cp:lastPrinted>2026-03-24T08:15:00Z</cp:lastPrinted>
  <dcterms:modified xsi:type="dcterms:W3CDTF">2026-03-24T10:22:00Z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30E1F80D9D214EDCA0EFBCDC75BA0A98_11</vt:lpwstr>
  </property>
  <property fmtid="{D5CDD505-2E9C-101B-9397-08002B2CF9AE}" pid="4" name="KSOTemplateDocerSaveRecord">
    <vt:lpwstr>eyJoZGlkIjoiMzdlZmFhODM0NjkyNWFkMmFkNGJkMGM0ZmNlNjRjYmQiLCJ1c2VySWQiOiI1OTMyMjk4ODcifQ==</vt:lpwstr>
  </property>
</Properties>
</file>