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ageBreakBefore w:val="0"/>
        <w:widowControl w:val="0"/>
        <w:kinsoku/>
        <w:wordWrap/>
        <w:overflowPunct/>
        <w:topLinePunct w:val="0"/>
        <w:autoSpaceDE/>
        <w:autoSpaceDN/>
        <w:bidi w:val="0"/>
        <w:adjustRightInd/>
        <w:spacing w:before="120" w:after="120" w:line="590" w:lineRule="exact"/>
        <w:textAlignment w:val="auto"/>
        <w:rPr>
          <w:rFonts w:hint="eastAsia" w:ascii="黑体" w:hAnsi="黑体" w:eastAsia="黑体" w:cstheme="minorBidi"/>
          <w:b w:val="0"/>
          <w:bCs w:val="0"/>
          <w:kern w:val="2"/>
          <w:sz w:val="44"/>
          <w:lang w:val="en-US" w:eastAsia="zh-CN"/>
        </w:rPr>
      </w:pPr>
      <w:r>
        <w:rPr>
          <w:rFonts w:hint="eastAsia" w:ascii="黑体" w:hAnsi="黑体" w:eastAsia="黑体" w:cstheme="minorBidi"/>
          <w:b w:val="0"/>
          <w:bCs w:val="0"/>
          <w:kern w:val="2"/>
          <w:sz w:val="44"/>
          <w:lang w:val="en-US" w:eastAsia="zh-CN"/>
        </w:rPr>
        <w:t>地震监测系统安全等级保护测评</w:t>
      </w:r>
    </w:p>
    <w:p>
      <w:pPr>
        <w:pStyle w:val="2"/>
        <w:pageBreakBefore w:val="0"/>
        <w:widowControl w:val="0"/>
        <w:kinsoku/>
        <w:wordWrap/>
        <w:overflowPunct/>
        <w:topLinePunct w:val="0"/>
        <w:autoSpaceDE/>
        <w:autoSpaceDN/>
        <w:bidi w:val="0"/>
        <w:adjustRightInd/>
        <w:spacing w:before="120" w:after="120" w:line="590" w:lineRule="exact"/>
        <w:textAlignment w:val="auto"/>
        <w:rPr>
          <w:rFonts w:ascii="黑体" w:hAnsi="黑体" w:eastAsia="黑体" w:cstheme="minorBidi"/>
          <w:b w:val="0"/>
          <w:bCs w:val="0"/>
          <w:kern w:val="2"/>
          <w:sz w:val="44"/>
        </w:rPr>
      </w:pPr>
      <w:r>
        <w:rPr>
          <w:rFonts w:hint="eastAsia" w:ascii="黑体" w:hAnsi="黑体" w:eastAsia="黑体" w:cstheme="minorBidi"/>
          <w:b w:val="0"/>
          <w:bCs w:val="0"/>
          <w:kern w:val="2"/>
          <w:sz w:val="44"/>
          <w:lang w:val="en-US" w:eastAsia="zh-CN"/>
        </w:rPr>
        <w:t>服务</w:t>
      </w:r>
      <w:r>
        <w:rPr>
          <w:rFonts w:hint="eastAsia" w:ascii="黑体" w:hAnsi="黑体" w:eastAsia="黑体" w:cstheme="minorBidi"/>
          <w:b w:val="0"/>
          <w:bCs w:val="0"/>
          <w:kern w:val="2"/>
          <w:sz w:val="44"/>
        </w:rPr>
        <w:t>要求</w:t>
      </w:r>
    </w:p>
    <w:p>
      <w:pPr>
        <w:keepNext w:val="0"/>
        <w:keepLines w:val="0"/>
        <w:pageBreakBefore w:val="0"/>
        <w:widowControl w:val="0"/>
        <w:tabs>
          <w:tab w:val="left" w:pos="540"/>
        </w:tabs>
        <w:kinsoku/>
        <w:wordWrap/>
        <w:overflowPunct/>
        <w:topLinePunct w:val="0"/>
        <w:autoSpaceDE/>
        <w:autoSpaceDN/>
        <w:bidi w:val="0"/>
        <w:adjustRightInd/>
        <w:snapToGrid w:val="0"/>
        <w:spacing w:line="590" w:lineRule="exact"/>
        <w:textAlignment w:val="auto"/>
        <w:outlineLvl w:val="1"/>
        <w:rPr>
          <w:rFonts w:ascii="宋体" w:hAnsi="宋体" w:cs="黑体"/>
          <w:b/>
          <w:snapToGrid w:val="0"/>
          <w:kern w:val="0"/>
          <w:szCs w:val="21"/>
        </w:rPr>
      </w:pPr>
    </w:p>
    <w:p>
      <w:pPr>
        <w:keepNext w:val="0"/>
        <w:keepLines w:val="0"/>
        <w:pageBreakBefore w:val="0"/>
        <w:widowControl w:val="0"/>
        <w:kinsoku/>
        <w:wordWrap/>
        <w:overflowPunct/>
        <w:topLinePunct w:val="0"/>
        <w:bidi w:val="0"/>
        <w:adjustRightInd/>
        <w:spacing w:line="590" w:lineRule="exact"/>
        <w:ind w:firstLine="643" w:firstLineChars="200"/>
        <w:textAlignment w:val="auto"/>
        <w:rPr>
          <w:rFonts w:ascii="仿宋_GB2312" w:hAnsi="仿宋_GB2312" w:eastAsia="仿宋_GB2312" w:cs="仿宋_GB2312"/>
          <w:b/>
          <w:sz w:val="32"/>
          <w:szCs w:val="32"/>
        </w:rPr>
      </w:pPr>
      <w:r>
        <w:rPr>
          <w:rFonts w:hint="eastAsia" w:ascii="仿宋_GB2312" w:hAnsi="仿宋_GB2312" w:eastAsia="仿宋_GB2312" w:cs="仿宋_GB2312"/>
          <w:b/>
          <w:sz w:val="32"/>
          <w:szCs w:val="32"/>
        </w:rPr>
        <w:t>一、</w:t>
      </w:r>
      <w:r>
        <w:rPr>
          <w:rFonts w:hint="eastAsia" w:ascii="仿宋_GB2312" w:hAnsi="仿宋_GB2312" w:eastAsia="仿宋_GB2312" w:cs="仿宋_GB2312"/>
          <w:b/>
          <w:sz w:val="32"/>
          <w:szCs w:val="32"/>
          <w:lang w:val="en-US" w:eastAsia="zh-CN"/>
        </w:rPr>
        <w:t>测评服务</w:t>
      </w:r>
      <w:r>
        <w:rPr>
          <w:rFonts w:hint="eastAsia" w:ascii="仿宋_GB2312" w:hAnsi="仿宋_GB2312" w:eastAsia="仿宋_GB2312" w:cs="仿宋_GB2312"/>
          <w:b/>
          <w:sz w:val="32"/>
          <w:szCs w:val="32"/>
        </w:rPr>
        <w:t>基本要求</w:t>
      </w:r>
    </w:p>
    <w:p>
      <w:pPr>
        <w:spacing w:line="360" w:lineRule="auto"/>
        <w:ind w:firstLine="646" w:firstLineChars="202"/>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根据《中华人民共和国网络安全法》、《中华人民共和国计算机信息系统安全保护条例》(第147号令)、《国务院关键信息基础设施安全保护条例》（第745令）、《信息安全等级保护管理办法》（公通字</w:t>
      </w:r>
      <w:r>
        <w:rPr>
          <w:rFonts w:hint="eastAsia" w:ascii="仿宋" w:hAnsi="仿宋" w:eastAsia="仿宋" w:cs="仿宋"/>
          <w:b w:val="0"/>
          <w:bCs w:val="0"/>
          <w:sz w:val="32"/>
          <w:szCs w:val="32"/>
          <w:lang w:val="en-US" w:eastAsia="zh-CN"/>
        </w:rPr>
        <w:t>〔2007〕</w:t>
      </w:r>
      <w:r>
        <w:rPr>
          <w:rFonts w:hint="eastAsia" w:ascii="仿宋_GB2312" w:hAnsi="仿宋_GB2312" w:eastAsia="仿宋_GB2312" w:cs="仿宋_GB2312"/>
          <w:color w:val="000000"/>
          <w:sz w:val="32"/>
          <w:szCs w:val="32"/>
        </w:rPr>
        <w:t>43号）、《关于信息安全等级保护工作的实施意见》（公通字</w:t>
      </w:r>
      <w:r>
        <w:rPr>
          <w:rFonts w:hint="eastAsia" w:ascii="仿宋" w:hAnsi="仿宋" w:eastAsia="仿宋" w:cs="仿宋"/>
          <w:b w:val="0"/>
          <w:bCs w:val="0"/>
          <w:sz w:val="32"/>
          <w:szCs w:val="32"/>
          <w:lang w:val="en-US" w:eastAsia="zh-CN"/>
        </w:rPr>
        <w:t>〔2004〕</w:t>
      </w:r>
      <w:r>
        <w:rPr>
          <w:rFonts w:hint="eastAsia" w:ascii="仿宋_GB2312" w:hAnsi="仿宋_GB2312" w:eastAsia="仿宋_GB2312" w:cs="仿宋_GB2312"/>
          <w:color w:val="000000"/>
          <w:sz w:val="32"/>
          <w:szCs w:val="32"/>
        </w:rPr>
        <w:t>66号）</w:t>
      </w:r>
      <w:r>
        <w:rPr>
          <w:rFonts w:hint="eastAsia" w:ascii="仿宋_GB2312" w:hAnsi="仿宋_GB2312" w:eastAsia="仿宋_GB2312" w:cs="仿宋_GB2312"/>
          <w:color w:val="000000"/>
          <w:sz w:val="32"/>
          <w:szCs w:val="32"/>
          <w:lang w:val="en-US" w:eastAsia="zh-CN"/>
        </w:rPr>
        <w:t>和</w:t>
      </w:r>
      <w:r>
        <w:rPr>
          <w:rFonts w:hint="eastAsia" w:ascii="仿宋_GB2312" w:hAnsi="仿宋_GB2312" w:eastAsia="仿宋_GB2312" w:cs="仿宋_GB2312"/>
          <w:color w:val="000000"/>
          <w:sz w:val="32"/>
          <w:szCs w:val="32"/>
        </w:rPr>
        <w:t>《贯彻落实网络安全等级保护制度和关键信息基础设施安全保护制度的指导意见》（公安部2020</w:t>
      </w:r>
      <w:r>
        <w:rPr>
          <w:rFonts w:hint="eastAsia" w:ascii="仿宋" w:hAnsi="仿宋" w:eastAsia="仿宋" w:cs="仿宋"/>
          <w:b w:val="0"/>
          <w:bCs w:val="0"/>
          <w:sz w:val="32"/>
          <w:szCs w:val="32"/>
          <w:lang w:val="en-US" w:eastAsia="zh-CN"/>
        </w:rPr>
        <w:t>〔1960〕</w:t>
      </w:r>
      <w:r>
        <w:rPr>
          <w:rFonts w:hint="eastAsia" w:ascii="仿宋_GB2312" w:hAnsi="仿宋_GB2312" w:eastAsia="仿宋_GB2312" w:cs="仿宋_GB2312"/>
          <w:color w:val="000000"/>
          <w:sz w:val="32"/>
          <w:szCs w:val="32"/>
        </w:rPr>
        <w:t>号）等法律法规及相关文件的规定和要求，参照《GB/T 22239-2019信息安全技术 网络安全等级保护基本要求》第</w:t>
      </w:r>
      <w:r>
        <w:rPr>
          <w:rFonts w:hint="eastAsia" w:ascii="仿宋_GB2312" w:hAnsi="仿宋_GB2312" w:eastAsia="仿宋_GB2312" w:cs="仿宋_GB2312"/>
          <w:color w:val="000000"/>
          <w:sz w:val="32"/>
          <w:szCs w:val="32"/>
          <w:lang w:val="en-US" w:eastAsia="zh-CN"/>
        </w:rPr>
        <w:t>三</w:t>
      </w:r>
      <w:r>
        <w:rPr>
          <w:rFonts w:hint="eastAsia" w:ascii="仿宋_GB2312" w:hAnsi="仿宋_GB2312" w:eastAsia="仿宋_GB2312" w:cs="仿宋_GB2312"/>
          <w:color w:val="000000"/>
          <w:sz w:val="32"/>
          <w:szCs w:val="32"/>
        </w:rPr>
        <w:t>级标准，对武汉市地震监测中心</w:t>
      </w:r>
      <w:r>
        <w:rPr>
          <w:rFonts w:hint="eastAsia" w:ascii="仿宋_GB2312" w:hAnsi="仿宋_GB2312" w:eastAsia="仿宋_GB2312" w:cs="仿宋_GB2312"/>
          <w:color w:val="000000"/>
          <w:sz w:val="32"/>
          <w:szCs w:val="32"/>
          <w:lang w:val="en-US" w:eastAsia="zh-CN"/>
        </w:rPr>
        <w:t>的</w:t>
      </w:r>
      <w:r>
        <w:rPr>
          <w:rFonts w:hint="eastAsia" w:ascii="仿宋_GB2312" w:hAnsi="仿宋_GB2312" w:eastAsia="仿宋_GB2312" w:cs="仿宋_GB2312"/>
          <w:color w:val="000000"/>
          <w:sz w:val="32"/>
          <w:szCs w:val="32"/>
        </w:rPr>
        <w:t>地震监测系统</w:t>
      </w:r>
      <w:r>
        <w:rPr>
          <w:rFonts w:hint="eastAsia" w:ascii="仿宋_GB2312" w:hAnsi="仿宋_GB2312" w:eastAsia="仿宋_GB2312" w:cs="仿宋_GB2312"/>
          <w:color w:val="000000"/>
          <w:sz w:val="32"/>
          <w:szCs w:val="32"/>
          <w:lang w:val="en-US" w:eastAsia="zh-CN"/>
        </w:rPr>
        <w:t>所涉及的</w:t>
      </w:r>
      <w:r>
        <w:rPr>
          <w:rFonts w:hint="eastAsia" w:ascii="仿宋_GB2312" w:hAnsi="仿宋_GB2312" w:eastAsia="仿宋_GB2312" w:cs="仿宋_GB2312"/>
          <w:color w:val="000000"/>
          <w:sz w:val="32"/>
          <w:szCs w:val="32"/>
        </w:rPr>
        <w:t>物理环境、通信网络、区域边界、计算环境和管理中心</w:t>
      </w:r>
      <w:r>
        <w:rPr>
          <w:rFonts w:hint="eastAsia" w:ascii="仿宋_GB2312" w:hAnsi="仿宋_GB2312" w:eastAsia="仿宋_GB2312" w:cs="仿宋_GB2312"/>
          <w:color w:val="000000"/>
          <w:sz w:val="32"/>
          <w:szCs w:val="32"/>
          <w:lang w:val="en-US" w:eastAsia="zh-CN"/>
        </w:rPr>
        <w:t>等内容</w:t>
      </w:r>
      <w:r>
        <w:rPr>
          <w:rFonts w:hint="eastAsia" w:ascii="仿宋_GB2312" w:hAnsi="仿宋_GB2312" w:eastAsia="仿宋_GB2312" w:cs="仿宋_GB2312"/>
          <w:color w:val="000000"/>
          <w:sz w:val="32"/>
          <w:szCs w:val="32"/>
        </w:rPr>
        <w:t>进行等保测评并出具《网络安全等级保护测评报告》。</w:t>
      </w:r>
    </w:p>
    <w:p>
      <w:pPr>
        <w:keepNext w:val="0"/>
        <w:keepLines w:val="0"/>
        <w:pageBreakBefore w:val="0"/>
        <w:widowControl w:val="0"/>
        <w:kinsoku/>
        <w:wordWrap/>
        <w:overflowPunct/>
        <w:topLinePunct w:val="0"/>
        <w:bidi w:val="0"/>
        <w:adjustRightInd/>
        <w:spacing w:line="590" w:lineRule="exact"/>
        <w:ind w:firstLine="640" w:firstLineChars="200"/>
        <w:textAlignment w:val="auto"/>
        <w:rPr>
          <w:rFonts w:hint="eastAsia" w:ascii="仿宋_GB2312" w:hAnsi="仿宋_GB2312" w:eastAsia="仿宋_GB2312" w:cs="仿宋_GB2312"/>
          <w:color w:val="000000"/>
          <w:sz w:val="32"/>
          <w:szCs w:val="32"/>
        </w:rPr>
      </w:pPr>
    </w:p>
    <w:p>
      <w:pPr>
        <w:keepNext w:val="0"/>
        <w:keepLines w:val="0"/>
        <w:pageBreakBefore w:val="0"/>
        <w:widowControl w:val="0"/>
        <w:kinsoku/>
        <w:wordWrap/>
        <w:overflowPunct/>
        <w:topLinePunct w:val="0"/>
        <w:bidi w:val="0"/>
        <w:adjustRightInd/>
        <w:spacing w:line="590" w:lineRule="exact"/>
        <w:ind w:firstLine="640" w:firstLineChars="200"/>
        <w:textAlignment w:val="auto"/>
        <w:rPr>
          <w:rFonts w:hint="eastAsia" w:ascii="仿宋_GB2312" w:hAnsi="仿宋_GB2312" w:eastAsia="仿宋_GB2312" w:cs="仿宋_GB2312"/>
          <w:color w:val="000000"/>
          <w:sz w:val="32"/>
          <w:szCs w:val="32"/>
        </w:rPr>
      </w:pPr>
    </w:p>
    <w:tbl>
      <w:tblPr>
        <w:tblStyle w:val="6"/>
        <w:tblW w:w="954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035"/>
        <w:gridCol w:w="6150"/>
        <w:gridCol w:w="984"/>
        <w:gridCol w:w="1372"/>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035"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194" w:right="194"/>
              <w:jc w:val="center"/>
              <w:textAlignment w:val="auto"/>
              <w:rPr>
                <w:rFonts w:ascii="仿宋_GB2312" w:hAnsi="仿宋_GB2312" w:eastAsia="仿宋_GB2312" w:cs="仿宋_GB2312"/>
                <w:color w:val="000000"/>
                <w:sz w:val="21"/>
                <w:szCs w:val="21"/>
                <w:lang w:eastAsia="en-US"/>
              </w:rPr>
            </w:pPr>
            <w:r>
              <w:rPr>
                <w:rFonts w:hint="eastAsia" w:ascii="仿宋_GB2312" w:hAnsi="仿宋_GB2312" w:eastAsia="仿宋_GB2312" w:cs="仿宋_GB2312"/>
                <w:color w:val="000000"/>
                <w:sz w:val="21"/>
                <w:szCs w:val="21"/>
                <w:lang w:eastAsia="en-US"/>
              </w:rPr>
              <w:t>序号</w:t>
            </w:r>
          </w:p>
        </w:tc>
        <w:tc>
          <w:tcPr>
            <w:tcW w:w="6150"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4"/>
              <w:jc w:val="center"/>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服务内容</w:t>
            </w:r>
          </w:p>
        </w:tc>
        <w:tc>
          <w:tcPr>
            <w:tcW w:w="9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4"/>
              <w:jc w:val="center"/>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数量</w:t>
            </w:r>
          </w:p>
        </w:tc>
        <w:tc>
          <w:tcPr>
            <w:tcW w:w="137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6"/>
              <w:jc w:val="center"/>
              <w:textAlignment w:val="auto"/>
              <w:rPr>
                <w:rFonts w:hint="eastAsia"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金额</w:t>
            </w:r>
          </w:p>
          <w:p>
            <w:pPr>
              <w:keepNext w:val="0"/>
              <w:keepLines w:val="0"/>
              <w:pageBreakBefore w:val="0"/>
              <w:widowControl w:val="0"/>
              <w:kinsoku/>
              <w:wordWrap/>
              <w:overflowPunct/>
              <w:topLinePunct w:val="0"/>
              <w:autoSpaceDE w:val="0"/>
              <w:autoSpaceDN w:val="0"/>
              <w:bidi w:val="0"/>
              <w:adjustRightInd/>
              <w:snapToGrid/>
              <w:spacing w:line="590" w:lineRule="exact"/>
              <w:ind w:left="-6" w:right="6"/>
              <w:jc w:val="center"/>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（万元）</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67" w:hRule="atLeast"/>
          <w:jc w:val="center"/>
        </w:trPr>
        <w:tc>
          <w:tcPr>
            <w:tcW w:w="1035"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4"/>
              <w:jc w:val="center"/>
              <w:textAlignment w:val="auto"/>
              <w:rPr>
                <w:rFonts w:ascii="仿宋_GB2312" w:hAnsi="仿宋_GB2312" w:eastAsia="仿宋_GB2312" w:cs="仿宋_GB2312"/>
                <w:color w:val="000000"/>
                <w:sz w:val="21"/>
                <w:szCs w:val="21"/>
                <w:lang w:eastAsia="en-US"/>
              </w:rPr>
            </w:pPr>
            <w:r>
              <w:rPr>
                <w:rFonts w:hint="eastAsia" w:ascii="仿宋_GB2312" w:hAnsi="仿宋_GB2312" w:eastAsia="仿宋_GB2312" w:cs="仿宋_GB2312"/>
                <w:color w:val="000000"/>
                <w:sz w:val="21"/>
                <w:szCs w:val="21"/>
                <w:lang w:eastAsia="en-US"/>
              </w:rPr>
              <w:t>1</w:t>
            </w:r>
          </w:p>
        </w:tc>
        <w:tc>
          <w:tcPr>
            <w:tcW w:w="6150"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6" w:firstLine="420" w:firstLineChars="200"/>
              <w:jc w:val="left"/>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按照第三级标准对</w:t>
            </w:r>
            <w:r>
              <w:rPr>
                <w:rFonts w:hint="eastAsia" w:ascii="仿宋_GB2312" w:hAnsi="仿宋_GB2312" w:eastAsia="仿宋_GB2312" w:cs="仿宋_GB2312"/>
                <w:color w:val="000000"/>
                <w:sz w:val="21"/>
                <w:szCs w:val="21"/>
              </w:rPr>
              <w:t>地震监测系统</w:t>
            </w:r>
            <w:r>
              <w:rPr>
                <w:rFonts w:hint="eastAsia" w:ascii="仿宋_GB2312" w:hAnsi="仿宋_GB2312" w:eastAsia="仿宋_GB2312" w:cs="仿宋_GB2312"/>
                <w:color w:val="000000"/>
                <w:sz w:val="21"/>
                <w:szCs w:val="21"/>
                <w:lang w:val="en-US" w:eastAsia="zh-CN"/>
              </w:rPr>
              <w:t>开展等级保护测评，并对系统进行漏洞扫描及渗透测试，测评完成后出具《网络安全等级保护测评报告》。</w:t>
            </w:r>
          </w:p>
        </w:tc>
        <w:tc>
          <w:tcPr>
            <w:tcW w:w="984"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4"/>
              <w:jc w:val="center"/>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1项</w:t>
            </w:r>
          </w:p>
        </w:tc>
        <w:tc>
          <w:tcPr>
            <w:tcW w:w="1372" w:type="dxa"/>
            <w:shd w:val="clear" w:color="auto" w:fill="auto"/>
            <w:vAlign w:val="center"/>
          </w:tcPr>
          <w:p>
            <w:pPr>
              <w:keepNext w:val="0"/>
              <w:keepLines w:val="0"/>
              <w:pageBreakBefore w:val="0"/>
              <w:widowControl w:val="0"/>
              <w:kinsoku/>
              <w:wordWrap/>
              <w:overflowPunct/>
              <w:topLinePunct w:val="0"/>
              <w:autoSpaceDE w:val="0"/>
              <w:autoSpaceDN w:val="0"/>
              <w:bidi w:val="0"/>
              <w:adjustRightInd/>
              <w:snapToGrid/>
              <w:spacing w:line="590" w:lineRule="exact"/>
              <w:ind w:left="-6" w:right="4"/>
              <w:jc w:val="center"/>
              <w:textAlignment w:val="auto"/>
              <w:rPr>
                <w:rFonts w:hint="default" w:ascii="仿宋_GB2312" w:hAnsi="仿宋_GB2312" w:eastAsia="仿宋_GB2312" w:cs="仿宋_GB2312"/>
                <w:color w:val="000000"/>
                <w:sz w:val="21"/>
                <w:szCs w:val="21"/>
                <w:lang w:val="en-US" w:eastAsia="zh-CN"/>
              </w:rPr>
            </w:pPr>
            <w:r>
              <w:rPr>
                <w:rFonts w:hint="eastAsia" w:ascii="仿宋_GB2312" w:hAnsi="仿宋_GB2312" w:eastAsia="仿宋_GB2312" w:cs="仿宋_GB2312"/>
                <w:color w:val="000000"/>
                <w:sz w:val="21"/>
                <w:szCs w:val="21"/>
                <w:lang w:val="en-US" w:eastAsia="zh-CN"/>
              </w:rPr>
              <w:t>4.8</w:t>
            </w:r>
          </w:p>
        </w:tc>
      </w:tr>
    </w:tbl>
    <w:p>
      <w:pPr>
        <w:keepNext w:val="0"/>
        <w:keepLines w:val="0"/>
        <w:pageBreakBefore w:val="0"/>
        <w:widowControl w:val="0"/>
        <w:kinsoku/>
        <w:wordWrap/>
        <w:overflowPunct/>
        <w:topLinePunct w:val="0"/>
        <w:bidi w:val="0"/>
        <w:adjustRightInd/>
        <w:spacing w:line="590" w:lineRule="exact"/>
        <w:ind w:firstLine="643" w:firstLineChars="200"/>
        <w:textAlignment w:val="auto"/>
        <w:rPr>
          <w:rFonts w:hint="eastAsia" w:ascii="仿宋_GB2312" w:hAnsi="仿宋_GB2312" w:eastAsia="仿宋_GB2312" w:cs="仿宋_GB2312"/>
          <w:b/>
          <w:sz w:val="32"/>
          <w:szCs w:val="32"/>
          <w:lang w:val="en-US" w:eastAsia="zh-CN"/>
        </w:rPr>
      </w:pPr>
      <w:r>
        <w:rPr>
          <w:rFonts w:hint="eastAsia" w:ascii="仿宋_GB2312" w:hAnsi="仿宋_GB2312" w:eastAsia="仿宋_GB2312" w:cs="仿宋_GB2312"/>
          <w:b/>
          <w:sz w:val="32"/>
          <w:szCs w:val="32"/>
          <w:lang w:val="en-US" w:eastAsia="zh-CN"/>
        </w:rPr>
        <w:t>二、项目实施人员要求：</w:t>
      </w:r>
    </w:p>
    <w:p>
      <w:pPr>
        <w:keepNext w:val="0"/>
        <w:keepLines w:val="0"/>
        <w:pageBreakBefore w:val="0"/>
        <w:widowControl w:val="0"/>
        <w:kinsoku/>
        <w:wordWrap/>
        <w:overflowPunct/>
        <w:topLinePunct w:val="0"/>
        <w:bidi w:val="0"/>
        <w:adjustRightInd/>
        <w:spacing w:line="590" w:lineRule="exact"/>
        <w:ind w:firstLine="640" w:firstLineChars="200"/>
        <w:textAlignment w:val="auto"/>
        <w:rPr>
          <w:rFonts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投标供应商需应具备有效的《网络安全服务认证证书等级保护测评服务认证</w:t>
      </w:r>
      <w:r>
        <w:rPr>
          <w:rFonts w:hint="eastAsia" w:ascii="仿宋_GB2312" w:hAnsi="仿宋_GB2312" w:eastAsia="仿宋_GB2312" w:cs="仿宋_GB2312"/>
          <w:color w:val="000000"/>
          <w:sz w:val="32"/>
          <w:szCs w:val="32"/>
          <w:shd w:val="clear" w:color="auto" w:fill="FFFFFF" w:themeFill="background1"/>
        </w:rPr>
        <w:t>》；</w:t>
      </w:r>
      <w:r>
        <w:rPr>
          <w:rFonts w:hint="eastAsia" w:ascii="仿宋_GB2312" w:hAnsi="仿宋_GB2312" w:eastAsia="仿宋_GB2312" w:cs="仿宋_GB2312"/>
          <w:color w:val="000000"/>
          <w:sz w:val="32"/>
          <w:szCs w:val="32"/>
        </w:rPr>
        <w:t>投标供应商</w:t>
      </w:r>
      <w:r>
        <w:rPr>
          <w:rFonts w:hint="eastAsia" w:ascii="仿宋_GB2312" w:hAnsi="仿宋_GB2312" w:eastAsia="仿宋_GB2312" w:cs="仿宋_GB2312"/>
          <w:color w:val="000000"/>
          <w:sz w:val="32"/>
          <w:szCs w:val="32"/>
          <w:shd w:val="clear" w:color="auto" w:fill="FFFFFF" w:themeFill="background1"/>
        </w:rPr>
        <w:t>应组建专门的测评团队或具有公安机关认可的攻防演练实验室平台，项目负责人应具有等级测评师（高级）资质或软件测评（高级）资质；</w:t>
      </w:r>
      <w:r>
        <w:rPr>
          <w:rFonts w:hint="eastAsia" w:ascii="仿宋_GB2312" w:hAnsi="仿宋_GB2312" w:eastAsia="仿宋_GB2312" w:cs="仿宋_GB2312"/>
          <w:color w:val="000000"/>
          <w:sz w:val="32"/>
          <w:szCs w:val="32"/>
        </w:rPr>
        <w:t>项目测评人员需具有等级测评师资质</w:t>
      </w:r>
      <w:r>
        <w:rPr>
          <w:rFonts w:hint="eastAsia" w:ascii="仿宋_GB2312" w:hAnsi="仿宋_GB2312" w:eastAsia="仿宋_GB2312" w:cs="仿宋_GB2312"/>
          <w:color w:val="000000"/>
          <w:sz w:val="32"/>
          <w:szCs w:val="32"/>
          <w:lang w:val="en-US" w:eastAsia="zh-CN"/>
        </w:rPr>
        <w:t>证书</w:t>
      </w:r>
      <w:r>
        <w:rPr>
          <w:rFonts w:hint="eastAsia" w:ascii="仿宋_GB2312" w:hAnsi="仿宋_GB2312" w:eastAsia="仿宋_GB2312" w:cs="仿宋_GB2312"/>
          <w:color w:val="000000"/>
          <w:sz w:val="32"/>
          <w:szCs w:val="32"/>
        </w:rPr>
        <w:t>。</w:t>
      </w:r>
    </w:p>
    <w:p>
      <w:pPr>
        <w:keepNext w:val="0"/>
        <w:keepLines w:val="0"/>
        <w:pageBreakBefore w:val="0"/>
        <w:widowControl w:val="0"/>
        <w:kinsoku/>
        <w:wordWrap/>
        <w:overflowPunct/>
        <w:topLinePunct w:val="0"/>
        <w:bidi w:val="0"/>
        <w:adjustRightInd/>
        <w:spacing w:line="590" w:lineRule="exact"/>
        <w:textAlignment w:val="auto"/>
        <w:rPr>
          <w:rFonts w:hint="eastAsia" w:ascii="华文仿宋" w:hAnsi="华文仿宋" w:eastAsia="华文仿宋" w:cstheme="minorBidi"/>
          <w:sz w:val="30"/>
          <w:szCs w:val="30"/>
        </w:rPr>
      </w:pPr>
    </w:p>
    <w:p>
      <w:bookmarkStart w:id="0" w:name="_GoBack"/>
      <w:bookmarkEnd w:id="0"/>
    </w:p>
    <w:sectPr>
      <w:footerReference r:id="rId3" w:type="default"/>
      <w:pgSz w:w="11906" w:h="16838"/>
      <w:pgMar w:top="1701" w:right="1474" w:bottom="1587"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0117412"/>
    </w:sdtPr>
    <w:sdtContent>
      <w:p>
        <w:pPr>
          <w:pStyle w:val="3"/>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E211F4"/>
    <w:rsid w:val="062206B8"/>
    <w:rsid w:val="31E211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300" w:lineRule="auto"/>
      <w:jc w:val="center"/>
      <w:outlineLvl w:val="0"/>
    </w:pPr>
    <w:rPr>
      <w:b/>
      <w:bCs/>
      <w:kern w:val="44"/>
      <w:sz w:val="32"/>
      <w:szCs w:val="44"/>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footer"/>
    <w:basedOn w:val="1"/>
    <w:qFormat/>
    <w:uiPriority w:val="99"/>
    <w:pPr>
      <w:tabs>
        <w:tab w:val="center" w:pos="4153"/>
        <w:tab w:val="right" w:pos="8306"/>
      </w:tabs>
      <w:snapToGrid w:val="0"/>
      <w:jc w:val="left"/>
    </w:pPr>
    <w:rPr>
      <w:sz w:val="18"/>
      <w:szCs w:val="18"/>
    </w:rPr>
  </w:style>
  <w:style w:type="table" w:customStyle="1" w:styleId="6">
    <w:name w:val="Table Normal"/>
    <w:semiHidden/>
    <w:unhideWhenUsed/>
    <w:qFormat/>
    <w:uiPriority w:val="2"/>
    <w:pPr>
      <w:widowControl w:val="0"/>
      <w:autoSpaceDE w:val="0"/>
      <w:autoSpaceDN w:val="0"/>
    </w:pPr>
    <w:rPr>
      <w:rFonts w:asciiTheme="minorHAnsi" w:hAnsiTheme="minorHAnsi" w:eastAsiaTheme="minorEastAsia" w:cstheme="minorBidi"/>
      <w:sz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TotalTime>
  <ScaleCrop>false</ScaleCrop>
  <LinksUpToDate>false</LinksUpToDate>
  <CharactersWithSpaces>0</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2026-06-29T07:51:00Z</dcterms:created>
  <dc:creator>Tyrion</dc:creator>
  <cp:lastModifiedBy>Lenovo</cp:lastModifiedBy>
  <dcterms:modified xsi:type="dcterms:W3CDTF">2026-06-30T03:32:22Z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E372233ECFEC40B8A575737F23CC423C_11</vt:lpwstr>
  </property>
  <property fmtid="{D5CDD505-2E9C-101B-9397-08002B2CF9AE}" pid="4" name="KSOTemplateDocerSaveRecord">
    <vt:lpwstr>eyJoZGlkIjoiZDQwOWQ5MzFkMzdhYjE4ZjY0OTY1OWJhODcxNjM0NGUiLCJ1c2VySWQiOiIyNTY2MDMyMDEifQ==</vt:lpwstr>
  </property>
</Properties>
</file>