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26E82">
      <w:pPr>
        <w:pStyle w:val="2"/>
        <w:spacing w:line="288" w:lineRule="auto"/>
        <w:jc w:val="center"/>
        <w:rPr>
          <w:rFonts w:ascii="方正小标宋简体" w:hAnsi="方正小标宋简体" w:eastAsia="方正小标宋简体" w:cs="方正小标宋_GBK"/>
          <w:b w:val="0"/>
          <w:bCs w:val="0"/>
          <w:sz w:val="44"/>
          <w:szCs w:val="32"/>
          <w:lang w:eastAsia="zh-CN"/>
        </w:rPr>
      </w:pPr>
      <w:r>
        <w:rPr>
          <w:rFonts w:hint="eastAsia" w:ascii="方正小标宋简体" w:hAnsi="方正小标宋简体" w:eastAsia="方正小标宋简体" w:cs="方正小标宋_GBK"/>
          <w:b w:val="0"/>
          <w:bCs w:val="0"/>
          <w:sz w:val="44"/>
          <w:szCs w:val="32"/>
          <w:lang w:eastAsia="zh-CN"/>
        </w:rPr>
        <w:t>武汉市BIM数据汇聚治理项目采购需求</w:t>
      </w:r>
    </w:p>
    <w:p w14:paraId="5C90F980">
      <w:pPr>
        <w:rPr>
          <w:rFonts w:ascii="仿宋_GB2312" w:hAnsi="仿宋_GB2312" w:eastAsia="仿宋_GB2312" w:cs="仿宋_GB2312"/>
          <w:b/>
          <w:color w:val="000000"/>
          <w:sz w:val="40"/>
          <w:lang w:eastAsia="zh-CN"/>
        </w:rPr>
      </w:pPr>
    </w:p>
    <w:p w14:paraId="35CB76E8">
      <w:pPr>
        <w:pStyle w:val="3"/>
        <w:numPr>
          <w:ilvl w:val="0"/>
          <w:numId w:val="1"/>
        </w:numPr>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项目概况</w:t>
      </w:r>
    </w:p>
    <w:p w14:paraId="010A1CFD">
      <w:pPr>
        <w:numPr>
          <w:ilvl w:val="0"/>
          <w:numId w:val="2"/>
        </w:numPr>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项目名称：武汉市BIM数据汇聚治理</w:t>
      </w:r>
    </w:p>
    <w:p w14:paraId="4402780C">
      <w:pPr>
        <w:numPr>
          <w:ilvl w:val="0"/>
          <w:numId w:val="2"/>
        </w:numPr>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采购金额：57万元</w:t>
      </w:r>
    </w:p>
    <w:p w14:paraId="28234E74">
      <w:pPr>
        <w:numPr>
          <w:ilvl w:val="0"/>
          <w:numId w:val="2"/>
        </w:numPr>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类别（货物/工程/服务）：服务</w:t>
      </w:r>
    </w:p>
    <w:p w14:paraId="5124C438">
      <w:pPr>
        <w:numPr>
          <w:ilvl w:val="0"/>
          <w:numId w:val="2"/>
        </w:numPr>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服务内容：</w:t>
      </w:r>
      <w:r>
        <w:rPr>
          <w:rFonts w:hint="eastAsia" w:ascii="仿宋_GB2312" w:hAnsi="仿宋_GB2312" w:eastAsia="仿宋_GB2312" w:cs="仿宋_GB2312"/>
          <w:sz w:val="28"/>
          <w:szCs w:val="28"/>
          <w:lang w:val="en-US" w:eastAsia="zh-CN"/>
        </w:rPr>
        <w:t>其他信息技术</w:t>
      </w:r>
      <w:bookmarkStart w:id="0" w:name="_GoBack"/>
      <w:bookmarkEnd w:id="0"/>
      <w:r>
        <w:rPr>
          <w:rFonts w:hint="eastAsia" w:ascii="仿宋_GB2312" w:hAnsi="仿宋_GB2312" w:eastAsia="仿宋_GB2312" w:cs="仿宋_GB2312"/>
          <w:sz w:val="28"/>
          <w:szCs w:val="28"/>
          <w:lang w:eastAsia="zh-CN"/>
        </w:rPr>
        <w:t>服务</w:t>
      </w:r>
    </w:p>
    <w:p w14:paraId="24AF2BDA">
      <w:pPr>
        <w:pStyle w:val="3"/>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二、服务需求</w:t>
      </w:r>
    </w:p>
    <w:p w14:paraId="58DFA383">
      <w:pPr>
        <w:spacing w:line="288" w:lineRule="auto"/>
        <w:ind w:firstLine="560" w:firstLineChars="200"/>
        <w:jc w:val="left"/>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依据《中华人民共和国</w:t>
      </w:r>
      <w:r>
        <w:rPr>
          <w:rFonts w:hint="eastAsia" w:ascii="仿宋_GB2312" w:hAnsi="仿宋_GB2312" w:eastAsia="仿宋_GB2312" w:cs="仿宋_GB2312"/>
          <w:color w:val="000000"/>
          <w:sz w:val="28"/>
          <w:szCs w:val="28"/>
          <w:shd w:val="clear" w:color="auto" w:fill="FFFFFF"/>
          <w:lang w:eastAsia="zh-CN"/>
        </w:rPr>
        <w:t>国务院</w:t>
      </w:r>
      <w:r>
        <w:rPr>
          <w:rFonts w:hint="eastAsia" w:ascii="仿宋_GB2312" w:hAnsi="仿宋_GB2312" w:eastAsia="仿宋_GB2312" w:cs="仿宋_GB2312"/>
          <w:color w:val="000000"/>
          <w:sz w:val="28"/>
          <w:szCs w:val="28"/>
          <w:lang w:eastAsia="zh-CN"/>
        </w:rPr>
        <w:t>令（第</w:t>
      </w:r>
      <w:r>
        <w:rPr>
          <w:rFonts w:hint="eastAsia" w:ascii="仿宋_GB2312" w:hAnsi="仿宋_GB2312" w:eastAsia="仿宋_GB2312" w:cs="仿宋_GB2312"/>
          <w:color w:val="000000"/>
          <w:sz w:val="28"/>
          <w:szCs w:val="28"/>
          <w:shd w:val="clear" w:color="auto" w:fill="FFFFFF"/>
          <w:lang w:eastAsia="zh-CN"/>
        </w:rPr>
        <w:t>809</w:t>
      </w:r>
      <w:r>
        <w:rPr>
          <w:rFonts w:hint="eastAsia" w:ascii="仿宋_GB2312" w:hAnsi="仿宋_GB2312" w:eastAsia="仿宋_GB2312" w:cs="仿宋_GB2312"/>
          <w:color w:val="000000"/>
          <w:sz w:val="28"/>
          <w:szCs w:val="28"/>
          <w:lang w:eastAsia="zh-CN"/>
        </w:rPr>
        <w:t>号）》关于政务数据共享有关规定，为建设武汉市BIM管理信息平台，省住建厅将BIM施工图图审工作开展以来产生的各类属于武汉市管辖区域BIM模型数据回流至武汉市住更局。为加强武汉市BIM数据的归集管理及应用，需将回流的存量BIM模型数据（.XDB格式）转化为在武汉市数公基平台、CIM平台应用数据。为此，需依据《湖北省BIM基础数据交换标准》（后文简称H-IFC标准）进行标准化数据治理满足应用需求，加快BIM数据中心建设及BIM在支撑城市管理领域的应用奠定数据基础。</w:t>
      </w:r>
    </w:p>
    <w:p w14:paraId="26E5FE26">
      <w:pPr>
        <w:numPr>
          <w:ilvl w:val="0"/>
          <w:numId w:val="3"/>
        </w:num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数据治理范围</w:t>
      </w:r>
    </w:p>
    <w:p w14:paraId="0F045C35">
      <w:pPr>
        <w:spacing w:line="288" w:lineRule="auto"/>
        <w:ind w:firstLine="560" w:firstLineChars="200"/>
        <w:jc w:val="left"/>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湖北省住建厅2022年开展BIM施工图线上图审业务以来，截至本项目合同期内已产生的属于武汉市管辖区域的存量BIM数据（经测算，不少于180个项目、1200个BIM模型），涵盖施工图审查、施工建设、竣工验收等全流程阶段，包括BIM模型数据和三维图审关联BIM的各类项目审批信息。（后文简称存量BIM数据）主要涉及的审批信息有项目编号、项目名称、投资金额、工程类别、工程类型、工程规模、项目位置（经纬度）等。</w:t>
      </w:r>
    </w:p>
    <w:p w14:paraId="2C5DF71F">
      <w:pPr>
        <w:numPr>
          <w:ilvl w:val="0"/>
          <w:numId w:val="3"/>
        </w:num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数据治理内容</w:t>
      </w:r>
    </w:p>
    <w:p w14:paraId="3DDC02E0">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2.1 H-IFC标准数据的治理</w:t>
      </w:r>
    </w:p>
    <w:p w14:paraId="325D86D4">
      <w:pPr>
        <w:spacing w:line="288" w:lineRule="auto"/>
        <w:ind w:firstLine="560" w:firstLineChars="200"/>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按照H-IFC标准，制定本项目对应的H-IFC数据标准实施指南，明确数据分类、命名规则、属性定义等要求，对存量BIM数据进行清洗和标准化处理。建立H-IFC数据质量检查机制，对存量BIM数据进行质量评估和反馈。</w:t>
      </w:r>
    </w:p>
    <w:p w14:paraId="6A43CA7C">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2.2 XDB格式数据转换</w:t>
      </w:r>
    </w:p>
    <w:p w14:paraId="45C25D32">
      <w:pPr>
        <w:spacing w:line="288" w:lineRule="auto"/>
        <w:ind w:firstLine="560" w:firstLineChars="200"/>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将XDB格式存量BIM数据转换为3Dtitle格式，可在武汉市数公基平台、武汉市CIM平台应用。并对转换后的数据进行验证，确保几何信息、属性信息及项目关联关系的完整性。按要求开发或采用专业的格式转换工具，按要求完成转换，保障数据的完整性、准确性。</w:t>
      </w:r>
    </w:p>
    <w:p w14:paraId="7085BA90">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2.3 数据关联处理</w:t>
      </w:r>
    </w:p>
    <w:p w14:paraId="5DEFF31C">
      <w:pPr>
        <w:spacing w:line="288" w:lineRule="auto"/>
        <w:ind w:firstLine="560" w:firstLineChars="200"/>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梳理项目各阶段（施工图审、施工建设、竣工验收）的BIM数据需求，按本项目制定的H-IFC数据标准实施指南完成数据关联。对存量BIM数据进行重新组织和关联，确保数据与项目各阶段对应。建立数据关联的审核机制，对关联数据进行检查和更新，完成存量BIM数据与项目各阶段（施工图审、施工建设、竣工验收）的对应关联，并完成在武汉市BIM数据中心的数据录入工作。</w:t>
      </w:r>
    </w:p>
    <w:p w14:paraId="2C76B14E">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2.4 数据安全处理</w:t>
      </w:r>
    </w:p>
    <w:p w14:paraId="34725C83">
      <w:pPr>
        <w:spacing w:line="288" w:lineRule="auto"/>
        <w:ind w:firstLine="560" w:firstLineChars="200"/>
        <w:rPr>
          <w:rFonts w:ascii="仿宋_GB2312" w:hAnsi="仿宋_GB2312" w:eastAsia="仿宋_GB2312" w:cs="仿宋_GB2312"/>
          <w:b/>
          <w:color w:val="000000"/>
          <w:sz w:val="28"/>
          <w:szCs w:val="28"/>
          <w:lang w:eastAsia="zh-CN"/>
        </w:rPr>
      </w:pPr>
      <w:r>
        <w:rPr>
          <w:rFonts w:hint="eastAsia" w:ascii="仿宋_GB2312" w:hAnsi="仿宋_GB2312" w:eastAsia="仿宋_GB2312" w:cs="仿宋_GB2312"/>
          <w:color w:val="000000"/>
          <w:sz w:val="28"/>
          <w:szCs w:val="28"/>
          <w:lang w:eastAsia="zh-CN"/>
        </w:rPr>
        <w:t>制定详细的BIM数据安全应用分类使用目录，明确不同安全分类数据的访问权限、使用范围和安全要求，完成存量BIM数据安全分类，加强数据的安全存储和传输，防止存量BIM数据泄露和滥用，保障数据的安全性和合规性。</w:t>
      </w:r>
    </w:p>
    <w:p w14:paraId="3B7A500D">
      <w:pPr>
        <w:pStyle w:val="3"/>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三、商务要求</w:t>
      </w:r>
    </w:p>
    <w:p w14:paraId="62509FEC">
      <w:pPr>
        <w:numPr>
          <w:ilvl w:val="0"/>
          <w:numId w:val="4"/>
        </w:num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资格要求</w:t>
      </w:r>
    </w:p>
    <w:p w14:paraId="004054E2">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参加政府采购活动的供应商应当具备政府采购法第二十二条第一款规定的条件，提供下列材料或具备相关资格条件的承诺函（格式自拟）:</w:t>
      </w:r>
    </w:p>
    <w:p w14:paraId="6A8A61EC">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1.1 法人或者其他组织的营业执照等证明文件，自然人的身份证明;</w:t>
      </w:r>
    </w:p>
    <w:p w14:paraId="64B6B413">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1.2 财务状况报告，依法缴纳税收和社会保障资金的相关材料;</w:t>
      </w:r>
    </w:p>
    <w:p w14:paraId="1A002895">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1.3 具备履行合同所必需的设备和专业技术能力的证明材料;</w:t>
      </w:r>
    </w:p>
    <w:p w14:paraId="48B800C6">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1.4 参加政府采购活动前3年内在经营活动中没有重大违法记录的书面声明;</w:t>
      </w:r>
    </w:p>
    <w:p w14:paraId="2557E3DF">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1.5 具备法律、行政法规规定的其他条件的证明材料。</w:t>
      </w:r>
    </w:p>
    <w:p w14:paraId="2F01DCD9">
      <w:pPr>
        <w:numPr>
          <w:ilvl w:val="0"/>
          <w:numId w:val="4"/>
        </w:num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实施要求</w:t>
      </w:r>
    </w:p>
    <w:p w14:paraId="583B0C70">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2.1 项目实施管理要求</w:t>
      </w:r>
    </w:p>
    <w:p w14:paraId="33E602FC">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项目要求对存储在武汉云上的存量BIM数据进行汇聚治理工作。需结合数据存储本地环境特点，确保数据治理实施过程安全、合规、高效。</w:t>
      </w:r>
    </w:p>
    <w:p w14:paraId="5743FB63">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2.2 工期要求</w:t>
      </w:r>
    </w:p>
    <w:p w14:paraId="38A1A821">
      <w:pPr>
        <w:spacing w:line="288" w:lineRule="auto"/>
        <w:ind w:firstLine="560" w:firstLineChars="200"/>
        <w:jc w:val="left"/>
        <w:rPr>
          <w:rFonts w:ascii="仿宋_GB2312" w:hAnsi="仿宋_GB2312" w:eastAsia="仿宋_GB2312" w:cs="仿宋_GB2312"/>
          <w:bCs/>
          <w:color w:val="000000"/>
          <w:sz w:val="28"/>
          <w:szCs w:val="28"/>
          <w:lang w:eastAsia="zh-CN"/>
        </w:rPr>
      </w:pPr>
      <w:r>
        <w:rPr>
          <w:rFonts w:ascii="仿宋_GB2312" w:hAnsi="仿宋_GB2312" w:eastAsia="仿宋_GB2312" w:cs="仿宋_GB2312"/>
          <w:bCs/>
          <w:color w:val="000000"/>
          <w:sz w:val="28"/>
          <w:szCs w:val="28"/>
          <w:lang w:eastAsia="zh-CN"/>
        </w:rPr>
        <w:t>自合同签订之日起180日历日完成成果交付。</w:t>
      </w:r>
    </w:p>
    <w:p w14:paraId="32418105">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2.3 项目人员配置要求</w:t>
      </w:r>
    </w:p>
    <w:p w14:paraId="772638F6">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项目期间，提供具有同类项目实施经验的数据工程师4人，负责整个项目实施工作。同时提供具备数据治理服务经验的技术支持团队负责技术管理与支持工作。</w:t>
      </w:r>
    </w:p>
    <w:p w14:paraId="2C80F1B8">
      <w:pPr>
        <w:spacing w:line="288" w:lineRule="auto"/>
        <w:ind w:firstLine="562" w:firstLineChars="200"/>
        <w:jc w:val="left"/>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2.4 项目运维服务要求</w:t>
      </w:r>
    </w:p>
    <w:p w14:paraId="0652D29D">
      <w:pPr>
        <w:spacing w:line="288" w:lineRule="auto"/>
        <w:ind w:firstLine="560" w:firstLineChars="200"/>
        <w:jc w:val="left"/>
        <w:rPr>
          <w:rFonts w:ascii="仿宋_GB2312" w:hAnsi="仿宋_GB2312" w:eastAsia="仿宋_GB2312" w:cs="仿宋_GB2312"/>
          <w:bCs/>
          <w:color w:val="000000"/>
          <w:sz w:val="28"/>
          <w:szCs w:val="28"/>
          <w:lang w:eastAsia="zh-CN"/>
        </w:rPr>
      </w:pPr>
      <w:r>
        <w:rPr>
          <w:rFonts w:hint="eastAsia" w:ascii="仿宋_GB2312" w:hAnsi="仿宋_GB2312" w:eastAsia="仿宋_GB2312" w:cs="仿宋_GB2312"/>
          <w:bCs/>
          <w:color w:val="000000"/>
          <w:sz w:val="28"/>
          <w:szCs w:val="28"/>
          <w:lang w:eastAsia="zh-CN"/>
        </w:rPr>
        <w:t>项目验收合格之日起1年。运维服务期间，提供全面、有效、本地化的技术支持/售后服务，保障数据系统可用。</w:t>
      </w:r>
    </w:p>
    <w:p w14:paraId="5060CCED">
      <w:pPr>
        <w:ind w:firstLine="482" w:firstLineChars="200"/>
        <w:jc w:val="left"/>
        <w:rPr>
          <w:rFonts w:ascii="仿宋_GB2312" w:hAnsi="仿宋_GB2312" w:eastAsia="仿宋_GB2312" w:cs="仿宋_GB2312"/>
          <w:b/>
          <w:bCs/>
          <w:color w:val="000000"/>
          <w:sz w:val="24"/>
          <w:lang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2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方正小标宋简体">
    <w:panose1 w:val="02010600010101010101"/>
    <w:charset w:val="86"/>
    <w:family w:val="auto"/>
    <w:pitch w:val="default"/>
    <w:sig w:usb0="00000001" w:usb1="080E0000" w:usb2="00000000" w:usb3="00000000" w:csb0="00040000" w:csb1="00000000"/>
    <w:embedRegular r:id="rId1" w:fontKey="{86F1B8BA-7971-4F78-B6A7-8D47042603EC}"/>
  </w:font>
  <w:font w:name="方正小标宋_GBK">
    <w:altName w:val="微软雅黑"/>
    <w:panose1 w:val="00000000000000000000"/>
    <w:charset w:val="86"/>
    <w:family w:val="auto"/>
    <w:pitch w:val="default"/>
    <w:sig w:usb0="00000000" w:usb1="00000000" w:usb2="00000000" w:usb3="00000000" w:csb0="00040000" w:csb1="00000000"/>
    <w:embedRegular r:id="rId2" w:fontKey="{9E39C2B2-A744-47C3-AD5F-DD863A72C9DC}"/>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3" w:fontKey="{EB7CA424-BC1A-472E-B6C4-1337CB90343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nothing"/>
      <w:lvlText w:val="（%1）"/>
      <w:lvlJc w:val="left"/>
      <w:rPr>
        <w:rFonts w:hint="eastAsia"/>
      </w:rPr>
    </w:lvl>
  </w:abstractNum>
  <w:abstractNum w:abstractNumId="1">
    <w:nsid w:val="00000002"/>
    <w:multiLevelType w:val="singleLevel"/>
    <w:tmpl w:val="00000002"/>
    <w:lvl w:ilvl="0" w:tentative="0">
      <w:start w:val="1"/>
      <w:numFmt w:val="chineseCounting"/>
      <w:suff w:val="nothing"/>
      <w:lvlText w:val="%1、"/>
      <w:lvlJc w:val="left"/>
      <w:rPr>
        <w:rFonts w:hint="eastAsia"/>
      </w:rPr>
    </w:lvl>
  </w:abstractNum>
  <w:abstractNum w:abstractNumId="2">
    <w:nsid w:val="00000003"/>
    <w:multiLevelType w:val="singleLevel"/>
    <w:tmpl w:val="00000003"/>
    <w:lvl w:ilvl="0" w:tentative="0">
      <w:start w:val="1"/>
      <w:numFmt w:val="decimal"/>
      <w:suff w:val="nothing"/>
      <w:lvlText w:val="%1、"/>
      <w:lvlJc w:val="left"/>
      <w:pPr>
        <w:ind w:left="570" w:firstLine="0"/>
      </w:pPr>
    </w:lvl>
  </w:abstractNum>
  <w:abstractNum w:abstractNumId="3">
    <w:nsid w:val="77890FE6"/>
    <w:multiLevelType w:val="singleLevel"/>
    <w:tmpl w:val="77890FE6"/>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C3B"/>
    <w:rsid w:val="0020505A"/>
    <w:rsid w:val="005A5247"/>
    <w:rsid w:val="005B51B6"/>
    <w:rsid w:val="005E0168"/>
    <w:rsid w:val="00616C97"/>
    <w:rsid w:val="00622C1A"/>
    <w:rsid w:val="007F6C3B"/>
    <w:rsid w:val="008C235D"/>
    <w:rsid w:val="009B35E4"/>
    <w:rsid w:val="009F5A31"/>
    <w:rsid w:val="00B472FA"/>
    <w:rsid w:val="00D025A6"/>
    <w:rsid w:val="00D8110A"/>
    <w:rsid w:val="00E55179"/>
    <w:rsid w:val="00F52588"/>
    <w:rsid w:val="00F55FB3"/>
    <w:rsid w:val="57796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等线" w:cs="21"/>
      <w:sz w:val="22"/>
      <w:szCs w:val="22"/>
      <w:lang w:val="en-US" w:eastAsia="en-US" w:bidi="ar-SA"/>
    </w:rPr>
  </w:style>
  <w:style w:type="paragraph" w:styleId="2">
    <w:name w:val="heading 1"/>
    <w:basedOn w:val="1"/>
    <w:next w:val="1"/>
    <w:link w:val="18"/>
    <w:qFormat/>
    <w:uiPriority w:val="9"/>
    <w:pPr>
      <w:keepNext/>
      <w:keepLines/>
      <w:spacing w:before="480"/>
      <w:outlineLvl w:val="0"/>
    </w:pPr>
    <w:rPr>
      <w:rFonts w:ascii="Cambria" w:hAnsi="Cambria" w:eastAsia="宋体" w:cs="宋体"/>
      <w:b/>
      <w:bCs/>
      <w:color w:val="000000"/>
      <w:sz w:val="28"/>
      <w:szCs w:val="28"/>
    </w:rPr>
  </w:style>
  <w:style w:type="paragraph" w:styleId="3">
    <w:name w:val="heading 2"/>
    <w:basedOn w:val="1"/>
    <w:next w:val="1"/>
    <w:link w:val="19"/>
    <w:unhideWhenUsed/>
    <w:qFormat/>
    <w:uiPriority w:val="9"/>
    <w:pPr>
      <w:keepNext/>
      <w:keepLines/>
      <w:spacing w:before="200"/>
      <w:outlineLvl w:val="1"/>
    </w:pPr>
    <w:rPr>
      <w:rFonts w:ascii="Cambria" w:hAnsi="Cambria" w:eastAsia="宋体" w:cs="宋体"/>
      <w:b/>
      <w:bCs/>
      <w:color w:val="000000"/>
      <w:sz w:val="26"/>
      <w:szCs w:val="26"/>
    </w:rPr>
  </w:style>
  <w:style w:type="paragraph" w:styleId="4">
    <w:name w:val="heading 3"/>
    <w:basedOn w:val="1"/>
    <w:next w:val="1"/>
    <w:link w:val="20"/>
    <w:semiHidden/>
    <w:unhideWhenUsed/>
    <w:qFormat/>
    <w:uiPriority w:val="9"/>
    <w:pPr>
      <w:keepNext/>
      <w:keepLines/>
      <w:spacing w:before="200"/>
      <w:outlineLvl w:val="2"/>
    </w:pPr>
    <w:rPr>
      <w:rFonts w:ascii="Cambria" w:hAnsi="Cambria" w:eastAsia="宋体" w:cs="宋体"/>
      <w:b/>
      <w:bCs/>
      <w:color w:val="000000"/>
    </w:rPr>
  </w:style>
  <w:style w:type="paragraph" w:styleId="5">
    <w:name w:val="heading 4"/>
    <w:basedOn w:val="1"/>
    <w:next w:val="1"/>
    <w:link w:val="21"/>
    <w:semiHidden/>
    <w:unhideWhenUsed/>
    <w:qFormat/>
    <w:uiPriority w:val="9"/>
    <w:pPr>
      <w:keepNext/>
      <w:keepLines/>
      <w:spacing w:before="200"/>
      <w:outlineLvl w:val="3"/>
    </w:pPr>
    <w:rPr>
      <w:rFonts w:ascii="Cambria" w:hAnsi="Cambria" w:eastAsia="宋体" w:cs="宋体"/>
      <w:b/>
      <w:bCs/>
      <w:i/>
      <w:iCs/>
      <w:color w:val="000000"/>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ind w:left="720"/>
    </w:pPr>
  </w:style>
  <w:style w:type="paragraph" w:styleId="7">
    <w:name w:val="caption"/>
    <w:basedOn w:val="1"/>
    <w:next w:val="1"/>
    <w:qFormat/>
    <w:uiPriority w:val="35"/>
    <w:rPr>
      <w:b/>
      <w:bCs/>
      <w:color w:val="4F81BD"/>
      <w:sz w:val="18"/>
      <w:szCs w:val="18"/>
    </w:rPr>
  </w:style>
  <w:style w:type="paragraph" w:styleId="8">
    <w:name w:val="footer"/>
    <w:basedOn w:val="1"/>
    <w:link w:val="25"/>
    <w:unhideWhenUsed/>
    <w:uiPriority w:val="99"/>
    <w:pPr>
      <w:tabs>
        <w:tab w:val="center" w:pos="4153"/>
        <w:tab w:val="right" w:pos="8306"/>
      </w:tabs>
      <w:snapToGrid w:val="0"/>
      <w:jc w:val="left"/>
    </w:pPr>
    <w:rPr>
      <w:sz w:val="18"/>
      <w:szCs w:val="18"/>
    </w:rPr>
  </w:style>
  <w:style w:type="paragraph" w:styleId="9">
    <w:name w:val="header"/>
    <w:basedOn w:val="1"/>
    <w:link w:val="17"/>
    <w:qFormat/>
    <w:uiPriority w:val="99"/>
    <w:pPr>
      <w:tabs>
        <w:tab w:val="center" w:pos="4680"/>
        <w:tab w:val="right" w:pos="9360"/>
      </w:tabs>
    </w:pPr>
  </w:style>
  <w:style w:type="paragraph" w:styleId="10">
    <w:name w:val="Subtitle"/>
    <w:basedOn w:val="1"/>
    <w:next w:val="1"/>
    <w:link w:val="22"/>
    <w:qFormat/>
    <w:uiPriority w:val="11"/>
    <w:pPr>
      <w:ind w:left="86"/>
    </w:pPr>
    <w:rPr>
      <w:rFonts w:ascii="Cambria" w:hAnsi="Cambria" w:eastAsia="宋体" w:cs="宋体"/>
      <w:i/>
      <w:iCs/>
      <w:color w:val="4F81BD"/>
      <w:spacing w:val="15"/>
      <w:sz w:val="24"/>
      <w:szCs w:val="24"/>
    </w:rPr>
  </w:style>
  <w:style w:type="paragraph" w:styleId="11">
    <w:name w:val="Title"/>
    <w:basedOn w:val="1"/>
    <w:next w:val="1"/>
    <w:link w:val="23"/>
    <w:qFormat/>
    <w:uiPriority w:val="10"/>
    <w:pPr>
      <w:pBdr>
        <w:bottom w:val="single" w:color="4F81BD" w:sz="8" w:space="4"/>
      </w:pBdr>
      <w:spacing w:after="300"/>
      <w:contextualSpacing/>
    </w:pPr>
    <w:rPr>
      <w:rFonts w:ascii="Cambria" w:hAnsi="Cambria" w:eastAsia="宋体" w:cs="宋体"/>
      <w:color w:val="17375E"/>
      <w:spacing w:val="5"/>
      <w:kern w:val="28"/>
      <w:sz w:val="52"/>
      <w:szCs w:val="52"/>
    </w:rPr>
  </w:style>
  <w:style w:type="table" w:styleId="13">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
    <w:name w:val="Emphasis"/>
    <w:basedOn w:val="14"/>
    <w:qFormat/>
    <w:uiPriority w:val="20"/>
    <w:rPr>
      <w:i/>
      <w:iCs/>
    </w:rPr>
  </w:style>
  <w:style w:type="character" w:styleId="16">
    <w:name w:val="Hyperlink"/>
    <w:basedOn w:val="14"/>
    <w:qFormat/>
    <w:uiPriority w:val="99"/>
    <w:rPr>
      <w:color w:val="0000FF"/>
      <w:u w:val="single"/>
    </w:rPr>
  </w:style>
  <w:style w:type="character" w:customStyle="1" w:styleId="17">
    <w:name w:val="页眉 字符"/>
    <w:basedOn w:val="14"/>
    <w:link w:val="9"/>
    <w:qFormat/>
    <w:uiPriority w:val="99"/>
  </w:style>
  <w:style w:type="character" w:customStyle="1" w:styleId="18">
    <w:name w:val="标题 1 字符"/>
    <w:basedOn w:val="14"/>
    <w:link w:val="2"/>
    <w:qFormat/>
    <w:uiPriority w:val="9"/>
    <w:rPr>
      <w:rFonts w:ascii="Cambria" w:hAnsi="Cambria" w:eastAsia="宋体" w:cs="宋体"/>
      <w:b/>
      <w:bCs/>
      <w:color w:val="376092"/>
      <w:sz w:val="28"/>
      <w:szCs w:val="28"/>
    </w:rPr>
  </w:style>
  <w:style w:type="character" w:customStyle="1" w:styleId="19">
    <w:name w:val="标题 2 字符"/>
    <w:basedOn w:val="14"/>
    <w:link w:val="3"/>
    <w:qFormat/>
    <w:uiPriority w:val="9"/>
    <w:rPr>
      <w:rFonts w:ascii="Cambria" w:hAnsi="Cambria" w:eastAsia="宋体" w:cs="宋体"/>
      <w:b/>
      <w:bCs/>
      <w:color w:val="4F81BD"/>
      <w:sz w:val="26"/>
      <w:szCs w:val="26"/>
    </w:rPr>
  </w:style>
  <w:style w:type="character" w:customStyle="1" w:styleId="20">
    <w:name w:val="标题 3 字符"/>
    <w:basedOn w:val="14"/>
    <w:link w:val="4"/>
    <w:qFormat/>
    <w:uiPriority w:val="9"/>
    <w:rPr>
      <w:rFonts w:ascii="Cambria" w:hAnsi="Cambria" w:eastAsia="宋体" w:cs="宋体"/>
      <w:b/>
      <w:bCs/>
      <w:color w:val="4F81BD"/>
    </w:rPr>
  </w:style>
  <w:style w:type="character" w:customStyle="1" w:styleId="21">
    <w:name w:val="标题 4 字符"/>
    <w:basedOn w:val="14"/>
    <w:link w:val="5"/>
    <w:qFormat/>
    <w:uiPriority w:val="9"/>
    <w:rPr>
      <w:rFonts w:ascii="Cambria" w:hAnsi="Cambria" w:eastAsia="宋体" w:cs="宋体"/>
      <w:b/>
      <w:bCs/>
      <w:i/>
      <w:iCs/>
      <w:color w:val="4F81BD"/>
    </w:rPr>
  </w:style>
  <w:style w:type="character" w:customStyle="1" w:styleId="22">
    <w:name w:val="副标题 字符"/>
    <w:basedOn w:val="14"/>
    <w:link w:val="10"/>
    <w:qFormat/>
    <w:uiPriority w:val="11"/>
    <w:rPr>
      <w:rFonts w:ascii="Cambria" w:hAnsi="Cambria" w:eastAsia="宋体" w:cs="宋体"/>
      <w:i/>
      <w:iCs/>
      <w:color w:val="4F81BD"/>
      <w:spacing w:val="15"/>
      <w:sz w:val="24"/>
      <w:szCs w:val="24"/>
    </w:rPr>
  </w:style>
  <w:style w:type="character" w:customStyle="1" w:styleId="23">
    <w:name w:val="标题 字符"/>
    <w:basedOn w:val="14"/>
    <w:link w:val="11"/>
    <w:qFormat/>
    <w:uiPriority w:val="10"/>
    <w:rPr>
      <w:rFonts w:ascii="Cambria" w:hAnsi="Cambria" w:eastAsia="宋体" w:cs="宋体"/>
      <w:color w:val="17375E"/>
      <w:spacing w:val="5"/>
      <w:kern w:val="28"/>
      <w:sz w:val="52"/>
      <w:szCs w:val="52"/>
    </w:rPr>
  </w:style>
  <w:style w:type="paragraph" w:customStyle="1" w:styleId="24">
    <w:name w:val="Revision"/>
    <w:hidden/>
    <w:semiHidden/>
    <w:qFormat/>
    <w:uiPriority w:val="99"/>
    <w:rPr>
      <w:rFonts w:ascii="Calibri" w:hAnsi="Calibri" w:eastAsia="等线" w:cs="21"/>
      <w:sz w:val="22"/>
      <w:szCs w:val="22"/>
      <w:lang w:val="en-US" w:eastAsia="en-US" w:bidi="ar-SA"/>
    </w:rPr>
  </w:style>
  <w:style w:type="character" w:customStyle="1" w:styleId="25">
    <w:name w:val="页脚 字符"/>
    <w:basedOn w:val="14"/>
    <w:link w:val="8"/>
    <w:uiPriority w:val="99"/>
    <w:rPr>
      <w:rFonts w:ascii="Calibri" w:hAnsi="Calibri" w:eastAsia="等线" w:cs="21"/>
      <w:sz w:val="18"/>
      <w:szCs w:val="18"/>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1426</Words>
  <Characters>1560</Characters>
  <Lines>11</Lines>
  <Paragraphs>3</Paragraphs>
  <TotalTime>102</TotalTime>
  <ScaleCrop>false</ScaleCrop>
  <LinksUpToDate>false</LinksUpToDate>
  <CharactersWithSpaces>1573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2025-11-27T09:18:00Z</dcterms:created>
  <dc:creator>詹恺</dc:creator>
  <cp:lastModifiedBy>Moka</cp:lastModifiedBy>
  <cp:lastPrinted>2025-12-01T08:58:00Z</cp:lastPrinted>
  <dcterms:modified xsi:type="dcterms:W3CDTF">2025-12-09T01:28:22Z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eyJoZGlkIjoiZmM2YTliNWE5OTZlNjE3NmU0NjNkNGFhZDFkYTcwZDAiLCJ1c2VySWQiOiIzMzA5NTk0NjcifQ==</vt:lpwstr>
  </property>
  <property fmtid="{D5CDD505-2E9C-101B-9397-08002B2CF9AE}" pid="3" name="KSOProductBuildVer">
    <vt:lpwstr>2052-12.1.0.23542</vt:lpwstr>
  </property>
  <property fmtid="{D5CDD505-2E9C-101B-9397-08002B2CF9AE}" pid="4" name="ICV">
    <vt:lpwstr>1FEFA70CF45F4CEAA3A77FA296BA7CAE_13</vt:lpwstr>
  </property>
</Properties>
</file>