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C6091">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武汉市中心医院</w:t>
      </w:r>
    </w:p>
    <w:p w14:paraId="67FA2461">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2026年信息化项目售后维保（IBMS集成）</w:t>
      </w:r>
    </w:p>
    <w:p w14:paraId="072110E9">
      <w:pPr>
        <w:adjustRightInd w:val="0"/>
        <w:snapToGrid w:val="0"/>
        <w:spacing w:line="360" w:lineRule="auto"/>
        <w:jc w:val="center"/>
        <w:outlineLvl w:val="0"/>
        <w:rPr>
          <w:rFonts w:hint="default"/>
          <w:lang w:val="en-US" w:eastAsia="zh-CN"/>
        </w:rPr>
      </w:pPr>
      <w:r>
        <w:rPr>
          <w:rFonts w:hint="eastAsia" w:ascii="黑体" w:hAnsi="黑体" w:eastAsia="黑体" w:cs="黑体"/>
          <w:b w:val="0"/>
          <w:bCs w:val="0"/>
          <w:color w:val="auto"/>
          <w:sz w:val="32"/>
          <w:szCs w:val="32"/>
          <w:lang w:val="en-US" w:eastAsia="zh-CN"/>
        </w:rPr>
        <w:t>采购需求</w:t>
      </w:r>
    </w:p>
    <w:p w14:paraId="162B44D8">
      <w:pPr>
        <w:pStyle w:val="3"/>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项目基本情况</w:t>
      </w:r>
    </w:p>
    <w:p w14:paraId="1ACE4CBC">
      <w:pPr>
        <w:adjustRightInd w:val="0"/>
        <w:snapToGrid w:val="0"/>
        <w:spacing w:line="360" w:lineRule="auto"/>
        <w:ind w:firstLine="480" w:firstLineChars="200"/>
        <w:jc w:val="left"/>
        <w:rPr>
          <w:rFonts w:hint="default" w:ascii="仿宋" w:hAnsi="仿宋" w:eastAsia="仿宋" w:cs="宋体"/>
          <w:b/>
          <w:bCs/>
          <w:color w:val="0000FF"/>
          <w:sz w:val="24"/>
          <w:szCs w:val="24"/>
          <w:lang w:val="en-US" w:eastAsia="zh-CN"/>
        </w:rPr>
      </w:pPr>
      <w:r>
        <w:rPr>
          <w:rFonts w:hint="eastAsia" w:ascii="仿宋" w:hAnsi="仿宋" w:eastAsia="仿宋" w:cs="宋体"/>
          <w:color w:val="000000"/>
          <w:sz w:val="24"/>
          <w:szCs w:val="24"/>
        </w:rPr>
        <w:t>1.项目名称：</w:t>
      </w:r>
      <w:r>
        <w:rPr>
          <w:rFonts w:hint="eastAsia" w:ascii="仿宋" w:hAnsi="仿宋" w:eastAsia="仿宋" w:cs="宋体"/>
          <w:color w:val="000000"/>
          <w:sz w:val="24"/>
          <w:szCs w:val="24"/>
          <w:lang w:val="en-US" w:eastAsia="zh-CN"/>
        </w:rPr>
        <w:t>2026年信息化项目售后维保（IBMS集成）</w:t>
      </w:r>
    </w:p>
    <w:p w14:paraId="55852FAC">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2.项目预算：</w:t>
      </w:r>
      <w:r>
        <w:rPr>
          <w:rFonts w:hint="eastAsia" w:ascii="仿宋" w:hAnsi="仿宋" w:eastAsia="仿宋" w:cs="宋体"/>
          <w:color w:val="000000"/>
          <w:sz w:val="24"/>
          <w:szCs w:val="24"/>
          <w:lang w:val="en-US" w:eastAsia="zh-CN"/>
        </w:rPr>
        <w:t>38</w:t>
      </w:r>
      <w:r>
        <w:rPr>
          <w:rFonts w:hint="eastAsia" w:ascii="仿宋" w:hAnsi="仿宋" w:eastAsia="仿宋" w:cs="宋体"/>
          <w:color w:val="auto"/>
          <w:sz w:val="24"/>
          <w:szCs w:val="24"/>
        </w:rPr>
        <w:t>万</w:t>
      </w:r>
      <w:r>
        <w:rPr>
          <w:rFonts w:hint="eastAsia" w:ascii="仿宋" w:hAnsi="仿宋" w:eastAsia="仿宋" w:cs="宋体"/>
          <w:color w:val="000000"/>
          <w:sz w:val="24"/>
          <w:szCs w:val="24"/>
        </w:rPr>
        <w:t>元</w:t>
      </w:r>
    </w:p>
    <w:p w14:paraId="2DA11E07">
      <w:pPr>
        <w:adjustRightInd w:val="0"/>
        <w:snapToGrid w:val="0"/>
        <w:spacing w:line="360" w:lineRule="auto"/>
        <w:ind w:firstLine="480" w:firstLineChars="200"/>
        <w:jc w:val="left"/>
        <w:rPr>
          <w:rFonts w:hint="default" w:ascii="仿宋" w:hAnsi="仿宋" w:eastAsia="仿宋" w:cs="宋体"/>
          <w:color w:val="000000"/>
          <w:sz w:val="24"/>
          <w:szCs w:val="24"/>
          <w:lang w:val="en-US"/>
        </w:rPr>
      </w:pPr>
      <w:r>
        <w:rPr>
          <w:rFonts w:hint="eastAsia" w:ascii="仿宋" w:hAnsi="仿宋" w:eastAsia="仿宋" w:cs="宋体"/>
          <w:color w:val="000000"/>
          <w:sz w:val="24"/>
          <w:szCs w:val="24"/>
        </w:rPr>
        <w:t>3.合同履行期限：</w:t>
      </w:r>
      <w:r>
        <w:rPr>
          <w:rFonts w:hint="eastAsia" w:ascii="仿宋" w:hAnsi="仿宋" w:eastAsia="仿宋" w:cs="宋体"/>
          <w:color w:val="000000"/>
          <w:sz w:val="24"/>
          <w:szCs w:val="24"/>
          <w:lang w:val="en-US" w:eastAsia="zh-CN"/>
        </w:rPr>
        <w:t>自合同签订之日起一年</w:t>
      </w:r>
    </w:p>
    <w:p w14:paraId="78C73269">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.本项目（是/否）接受联合体投标：否</w:t>
      </w:r>
    </w:p>
    <w:p w14:paraId="44D99E2F">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36BB0BCA">
      <w:pPr>
        <w:pStyle w:val="3"/>
        <w:numPr>
          <w:ilvl w:val="0"/>
          <w:numId w:val="1"/>
        </w:numPr>
        <w:snapToGrid w:val="0"/>
        <w:spacing w:before="0" w:after="0" w:line="360" w:lineRule="auto"/>
        <w:ind w:firstLineChars="0"/>
        <w:jc w:val="left"/>
        <w:outlineLvl w:val="1"/>
        <w:rPr>
          <w:rFonts w:ascii="仿宋" w:hAnsi="仿宋" w:eastAsia="仿宋" w:cs="Times New Roman"/>
          <w:b/>
          <w:color w:val="0000FF"/>
          <w:sz w:val="24"/>
          <w:szCs w:val="24"/>
          <w:lang w:val="zh-CN"/>
        </w:rPr>
      </w:pPr>
      <w:r>
        <w:rPr>
          <w:rFonts w:hint="eastAsia" w:ascii="仿宋" w:hAnsi="仿宋" w:eastAsia="仿宋" w:cs="Times New Roman"/>
          <w:b/>
          <w:color w:val="auto"/>
          <w:sz w:val="24"/>
          <w:szCs w:val="24"/>
          <w:lang w:val="zh-CN"/>
        </w:rPr>
        <w:t>国</w:t>
      </w:r>
      <w:r>
        <w:rPr>
          <w:rFonts w:hint="eastAsia" w:ascii="仿宋" w:hAnsi="仿宋" w:eastAsia="仿宋" w:cs="Times New Roman"/>
          <w:b/>
          <w:sz w:val="24"/>
          <w:szCs w:val="24"/>
          <w:lang w:val="zh-CN"/>
        </w:rPr>
        <w:t>家相关行政主管部门颁布的强制标准、规范</w:t>
      </w:r>
    </w:p>
    <w:p w14:paraId="72350B90">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1B6F8B2E">
      <w:pPr>
        <w:pStyle w:val="3"/>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项目需求及技术要求</w:t>
      </w:r>
    </w:p>
    <w:p w14:paraId="16FC8EF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w:t>
      </w:r>
      <w:r>
        <w:rPr>
          <w:rFonts w:hint="eastAsia" w:ascii="仿宋" w:hAnsi="仿宋" w:eastAsia="仿宋" w:cs="仿宋"/>
          <w:sz w:val="24"/>
          <w:szCs w:val="24"/>
          <w:lang w:val="en-US" w:eastAsia="zh-CN"/>
        </w:rPr>
        <w:t>已有140余年悠久历史</w:t>
      </w:r>
      <w:r>
        <w:rPr>
          <w:rFonts w:hint="eastAsia" w:ascii="仿宋" w:hAnsi="仿宋" w:eastAsia="仿宋" w:cs="仿宋"/>
          <w:sz w:val="24"/>
          <w:szCs w:val="24"/>
        </w:rPr>
        <w:t>，是一所融医疗、科研、教学、预防、培训为一体的大型现代化三级甲等医院。医院现有南京路院区、后湖院区、杨春湖院区（洪山区人民医院），编制床位3700张，为武汉市心血管病医院。现有职工</w:t>
      </w:r>
      <w:r>
        <w:rPr>
          <w:rFonts w:hint="eastAsia" w:ascii="仿宋" w:hAnsi="仿宋" w:eastAsia="仿宋" w:cs="仿宋"/>
          <w:sz w:val="24"/>
          <w:szCs w:val="24"/>
          <w:lang w:val="en-US" w:eastAsia="zh-CN"/>
        </w:rPr>
        <w:t>5020</w:t>
      </w:r>
      <w:r>
        <w:rPr>
          <w:rFonts w:hint="eastAsia" w:ascii="仿宋" w:hAnsi="仿宋" w:eastAsia="仿宋" w:cs="仿宋"/>
          <w:sz w:val="24"/>
          <w:szCs w:val="24"/>
        </w:rPr>
        <w:t>余人，中高级职称2600余人，博士、硕士1500余人。享受</w:t>
      </w:r>
      <w:r>
        <w:rPr>
          <w:rFonts w:hint="eastAsia" w:ascii="仿宋" w:hAnsi="仿宋" w:eastAsia="仿宋" w:cs="仿宋"/>
          <w:sz w:val="24"/>
          <w:szCs w:val="24"/>
          <w:lang w:eastAsia="zh-CN"/>
        </w:rPr>
        <w:t>国务院政府特殊津贴</w:t>
      </w:r>
      <w:r>
        <w:rPr>
          <w:rFonts w:hint="eastAsia" w:ascii="仿宋" w:hAnsi="仿宋" w:eastAsia="仿宋" w:cs="仿宋"/>
          <w:sz w:val="24"/>
          <w:szCs w:val="24"/>
        </w:rPr>
        <w:t>专家 10人，省、市各级专项津贴专家15人，一大批专家在各专业学会担任要职。国家临床重点专科能力建设项目2个，省级临床重点专科42个，市级临床重点专科48个。</w:t>
      </w:r>
    </w:p>
    <w:p w14:paraId="3B93869A">
      <w:pPr>
        <w:pStyle w:val="4"/>
        <w:numPr>
          <w:ilvl w:val="0"/>
          <w:numId w:val="2"/>
        </w:numPr>
        <w:adjustRightInd w:val="0"/>
        <w:snapToGrid w:val="0"/>
        <w:spacing w:before="0" w:after="0" w:line="360" w:lineRule="auto"/>
        <w:ind w:left="-641" w:leftChars="0" w:firstLine="638" w:firstLineChars="0"/>
        <w:jc w:val="left"/>
        <w:outlineLvl w:val="2"/>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38395095">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宋体"/>
          <w:color w:val="000000"/>
          <w:sz w:val="24"/>
          <w:szCs w:val="24"/>
          <w:lang w:val="en-US" w:eastAsia="zh-CN"/>
        </w:rPr>
        <w:t>IBMS集成</w:t>
      </w:r>
      <w:r>
        <w:rPr>
          <w:rFonts w:hint="eastAsia" w:ascii="仿宋" w:hAnsi="仿宋" w:eastAsia="仿宋" w:cs="仿宋"/>
          <w:sz w:val="24"/>
          <w:szCs w:val="24"/>
          <w:lang w:val="en-US" w:eastAsia="zh-CN"/>
        </w:rPr>
        <w:t>提供一年</w:t>
      </w:r>
      <w:r>
        <w:rPr>
          <w:rFonts w:hint="eastAsia" w:ascii="仿宋" w:hAnsi="仿宋" w:eastAsia="仿宋" w:cs="仿宋"/>
          <w:sz w:val="24"/>
          <w:szCs w:val="24"/>
          <w:lang w:val="zh-CN"/>
        </w:rPr>
        <w:t>售后维保服务。</w:t>
      </w:r>
    </w:p>
    <w:p w14:paraId="2A23CD03">
      <w:pPr>
        <w:spacing w:line="360" w:lineRule="auto"/>
        <w:rPr>
          <w:rFonts w:hint="eastAsia"/>
          <w:lang w:val="zh-CN"/>
        </w:rPr>
      </w:pPr>
      <w:r>
        <w:rPr>
          <w:rFonts w:hint="eastAsia" w:ascii="仿宋" w:hAnsi="仿宋" w:eastAsia="仿宋" w:cs="仿宋"/>
          <w:sz w:val="24"/>
          <w:szCs w:val="24"/>
          <w:lang w:val="zh-CN"/>
        </w:rPr>
        <w:br w:type="page"/>
      </w:r>
    </w:p>
    <w:p w14:paraId="462AE943">
      <w:pPr>
        <w:numPr>
          <w:ilvl w:val="0"/>
          <w:numId w:val="0"/>
        </w:numPr>
        <w:bidi w:val="0"/>
        <w:spacing w:line="360" w:lineRule="auto"/>
        <w:ind w:leftChars="0"/>
        <w:outlineLvl w:val="2"/>
        <w:rPr>
          <w:rFonts w:hint="eastAsia" w:ascii="仿宋" w:hAnsi="仿宋" w:eastAsia="仿宋" w:cs="Times New Roman"/>
          <w:b/>
          <w:color w:val="0000FF"/>
          <w:sz w:val="24"/>
          <w:szCs w:val="24"/>
          <w:lang w:val="zh-CN"/>
        </w:rPr>
      </w:pPr>
      <w:r>
        <w:rPr>
          <w:rFonts w:hint="eastAsia" w:ascii="仿宋" w:hAnsi="仿宋" w:eastAsia="仿宋" w:cs="仿宋"/>
          <w:b/>
          <w:bCs w:val="0"/>
          <w:kern w:val="2"/>
          <w:sz w:val="24"/>
          <w:szCs w:val="24"/>
          <w:lang w:val="en-US" w:eastAsia="zh-CN" w:bidi="ar-SA"/>
        </w:rPr>
        <w:t>维保项目</w:t>
      </w:r>
      <w:r>
        <w:rPr>
          <w:rFonts w:hint="eastAsia" w:ascii="仿宋" w:hAnsi="仿宋" w:eastAsia="仿宋" w:cs="仿宋"/>
          <w:b/>
          <w:bCs w:val="0"/>
          <w:kern w:val="2"/>
          <w:sz w:val="24"/>
          <w:szCs w:val="24"/>
          <w:lang w:val="zh-CN" w:eastAsia="zh-CN" w:bidi="ar-SA"/>
        </w:rPr>
        <w:t>清单</w:t>
      </w:r>
    </w:p>
    <w:tbl>
      <w:tblPr>
        <w:tblStyle w:val="11"/>
        <w:tblpPr w:leftFromText="180" w:rightFromText="180" w:vertAnchor="text" w:horzAnchor="page" w:tblpX="1901" w:tblpY="468"/>
        <w:tblOverlap w:val="never"/>
        <w:tblW w:w="8547" w:type="dxa"/>
        <w:tblInd w:w="0" w:type="dxa"/>
        <w:tblLayout w:type="autofit"/>
        <w:tblCellMar>
          <w:top w:w="0" w:type="dxa"/>
          <w:left w:w="108" w:type="dxa"/>
          <w:bottom w:w="0" w:type="dxa"/>
          <w:right w:w="108" w:type="dxa"/>
        </w:tblCellMar>
      </w:tblPr>
      <w:tblGrid>
        <w:gridCol w:w="775"/>
        <w:gridCol w:w="1110"/>
        <w:gridCol w:w="2595"/>
        <w:gridCol w:w="1215"/>
        <w:gridCol w:w="1110"/>
        <w:gridCol w:w="1742"/>
      </w:tblGrid>
      <w:tr w14:paraId="12F27CFC">
        <w:tblPrEx>
          <w:tblCellMar>
            <w:top w:w="0" w:type="dxa"/>
            <w:left w:w="108" w:type="dxa"/>
            <w:bottom w:w="0" w:type="dxa"/>
            <w:right w:w="108" w:type="dxa"/>
          </w:tblCellMar>
        </w:tblPrEx>
        <w:trPr>
          <w:trHeight w:val="600" w:hRule="atLeast"/>
        </w:trPr>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E9CBE">
            <w:pPr>
              <w:widowControl/>
              <w:jc w:val="center"/>
              <w:textAlignment w:val="center"/>
              <w:rPr>
                <w:rFonts w:ascii="仿宋" w:hAnsi="仿宋" w:eastAsia="仿宋" w:cs="仿宋"/>
                <w:b/>
                <w:bCs/>
                <w:color w:val="000000"/>
                <w:sz w:val="24"/>
                <w:szCs w:val="24"/>
              </w:rPr>
            </w:pPr>
            <w:r>
              <w:rPr>
                <w:rFonts w:hint="eastAsia" w:ascii="仿宋" w:hAnsi="仿宋" w:eastAsia="仿宋" w:cs="仿宋"/>
                <w:b/>
                <w:bCs/>
                <w:color w:val="000000"/>
                <w:kern w:val="0"/>
                <w:sz w:val="24"/>
                <w:szCs w:val="24"/>
                <w:lang w:bidi="ar"/>
              </w:rPr>
              <w:t>序号</w:t>
            </w:r>
          </w:p>
        </w:tc>
        <w:tc>
          <w:tcPr>
            <w:tcW w:w="3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000AA">
            <w:pPr>
              <w:widowControl/>
              <w:jc w:val="center"/>
              <w:textAlignment w:val="center"/>
              <w:rPr>
                <w:rFonts w:ascii="仿宋" w:hAnsi="仿宋" w:eastAsia="仿宋" w:cs="仿宋"/>
                <w:b/>
                <w:bCs/>
                <w:color w:val="000000"/>
                <w:sz w:val="24"/>
                <w:szCs w:val="24"/>
              </w:rPr>
            </w:pPr>
            <w:r>
              <w:rPr>
                <w:rFonts w:hint="eastAsia" w:ascii="仿宋" w:hAnsi="仿宋" w:eastAsia="仿宋" w:cs="仿宋"/>
                <w:b/>
                <w:bCs/>
                <w:color w:val="000000"/>
                <w:kern w:val="0"/>
                <w:sz w:val="24"/>
                <w:szCs w:val="24"/>
                <w:lang w:bidi="ar"/>
              </w:rPr>
              <w:t>名称</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32DB">
            <w:pPr>
              <w:widowControl/>
              <w:jc w:val="center"/>
              <w:textAlignment w:val="center"/>
              <w:rPr>
                <w:rFonts w:ascii="仿宋" w:hAnsi="仿宋" w:eastAsia="仿宋" w:cs="仿宋"/>
                <w:b/>
                <w:bCs/>
                <w:color w:val="000000"/>
                <w:sz w:val="24"/>
                <w:szCs w:val="24"/>
              </w:rPr>
            </w:pPr>
            <w:r>
              <w:rPr>
                <w:rFonts w:hint="eastAsia" w:ascii="仿宋" w:hAnsi="仿宋" w:eastAsia="仿宋" w:cs="仿宋"/>
                <w:b/>
                <w:bCs/>
                <w:color w:val="000000"/>
                <w:kern w:val="0"/>
                <w:sz w:val="24"/>
                <w:szCs w:val="24"/>
                <w:lang w:bidi="ar"/>
              </w:rPr>
              <w:t>数量</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BEC5">
            <w:pPr>
              <w:widowControl/>
              <w:jc w:val="center"/>
              <w:textAlignment w:val="center"/>
              <w:rPr>
                <w:rFonts w:ascii="仿宋" w:hAnsi="仿宋" w:eastAsia="仿宋" w:cs="仿宋"/>
                <w:b/>
                <w:bCs/>
                <w:color w:val="000000"/>
                <w:sz w:val="24"/>
                <w:szCs w:val="24"/>
              </w:rPr>
            </w:pPr>
            <w:r>
              <w:rPr>
                <w:rFonts w:hint="eastAsia" w:ascii="仿宋" w:hAnsi="仿宋" w:eastAsia="仿宋" w:cs="仿宋"/>
                <w:b/>
                <w:bCs/>
                <w:color w:val="000000"/>
                <w:kern w:val="0"/>
                <w:sz w:val="24"/>
                <w:szCs w:val="24"/>
                <w:lang w:bidi="ar"/>
              </w:rPr>
              <w:t>单位</w:t>
            </w:r>
          </w:p>
        </w:tc>
        <w:tc>
          <w:tcPr>
            <w:tcW w:w="1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62C8">
            <w:pPr>
              <w:widowControl/>
              <w:jc w:val="center"/>
              <w:textAlignment w:val="center"/>
              <w:rPr>
                <w:rFonts w:ascii="仿宋" w:hAnsi="仿宋" w:eastAsia="仿宋" w:cs="仿宋"/>
                <w:b/>
                <w:bCs/>
                <w:color w:val="000000"/>
                <w:sz w:val="24"/>
                <w:szCs w:val="24"/>
              </w:rPr>
            </w:pPr>
            <w:r>
              <w:rPr>
                <w:rFonts w:hint="eastAsia" w:ascii="仿宋" w:hAnsi="仿宋" w:eastAsia="仿宋" w:cs="仿宋"/>
                <w:b/>
                <w:bCs/>
                <w:color w:val="000000"/>
                <w:kern w:val="0"/>
                <w:sz w:val="24"/>
                <w:szCs w:val="24"/>
                <w:lang w:bidi="ar"/>
              </w:rPr>
              <w:t>概算（万元）</w:t>
            </w:r>
          </w:p>
        </w:tc>
      </w:tr>
      <w:tr w14:paraId="58C342D4">
        <w:tblPrEx>
          <w:tblCellMar>
            <w:top w:w="0" w:type="dxa"/>
            <w:left w:w="108" w:type="dxa"/>
            <w:bottom w:w="0" w:type="dxa"/>
            <w:right w:w="108" w:type="dxa"/>
          </w:tblCellMar>
        </w:tblPrEx>
        <w:trPr>
          <w:trHeight w:val="530" w:hRule="atLeast"/>
        </w:trPr>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795B">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 xml:space="preserve">1 </w:t>
            </w:r>
          </w:p>
        </w:tc>
        <w:tc>
          <w:tcPr>
            <w:tcW w:w="3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897F88">
            <w:pPr>
              <w:widowControl/>
              <w:jc w:val="center"/>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武汉市中心医院</w:t>
            </w:r>
            <w:r>
              <w:rPr>
                <w:rFonts w:hint="eastAsia" w:ascii="仿宋" w:hAnsi="仿宋" w:eastAsia="仿宋" w:cs="宋体"/>
                <w:color w:val="000000"/>
                <w:sz w:val="24"/>
                <w:szCs w:val="24"/>
                <w:lang w:val="en-US" w:eastAsia="zh-CN"/>
              </w:rPr>
              <w:t>IBMS集成</w:t>
            </w:r>
            <w:r>
              <w:rPr>
                <w:rFonts w:hint="eastAsia" w:ascii="仿宋" w:hAnsi="仿宋" w:eastAsia="仿宋" w:cs="仿宋"/>
                <w:color w:val="000000"/>
                <w:sz w:val="24"/>
                <w:szCs w:val="24"/>
                <w:lang w:val="en-US" w:eastAsia="zh-CN"/>
              </w:rPr>
              <w:t>售后维保服务</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E7EC3">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1F06F">
            <w:pPr>
              <w:widowControl/>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rPr>
              <w:t>年</w:t>
            </w:r>
          </w:p>
        </w:tc>
        <w:tc>
          <w:tcPr>
            <w:tcW w:w="1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93E4">
            <w:pPr>
              <w:widowControl/>
              <w:jc w:val="center"/>
              <w:textAlignment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38</w:t>
            </w:r>
          </w:p>
        </w:tc>
      </w:tr>
      <w:tr w14:paraId="7A962F6E">
        <w:tblPrEx>
          <w:tblCellMar>
            <w:top w:w="0" w:type="dxa"/>
            <w:left w:w="108" w:type="dxa"/>
            <w:bottom w:w="0" w:type="dxa"/>
            <w:right w:w="108" w:type="dxa"/>
          </w:tblCellMar>
        </w:tblPrEx>
        <w:trPr>
          <w:trHeight w:val="585" w:hRule="atLeast"/>
        </w:trPr>
        <w:tc>
          <w:tcPr>
            <w:tcW w:w="1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E7B746">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服务期</w:t>
            </w:r>
          </w:p>
        </w:tc>
        <w:tc>
          <w:tcPr>
            <w:tcW w:w="666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6EE6BA">
            <w:pPr>
              <w:widowControl/>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自双方合同签订之日起一年</w:t>
            </w:r>
          </w:p>
        </w:tc>
      </w:tr>
      <w:tr w14:paraId="4B132795">
        <w:tblPrEx>
          <w:tblCellMar>
            <w:top w:w="0" w:type="dxa"/>
            <w:left w:w="108" w:type="dxa"/>
            <w:bottom w:w="0" w:type="dxa"/>
            <w:right w:w="108" w:type="dxa"/>
          </w:tblCellMar>
        </w:tblPrEx>
        <w:trPr>
          <w:trHeight w:val="534" w:hRule="atLeast"/>
        </w:trPr>
        <w:tc>
          <w:tcPr>
            <w:tcW w:w="1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A68233">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服务范围</w:t>
            </w:r>
          </w:p>
        </w:tc>
        <w:tc>
          <w:tcPr>
            <w:tcW w:w="666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4DDC675">
            <w:pPr>
              <w:rPr>
                <w:rFonts w:ascii="仿宋" w:hAnsi="仿宋" w:eastAsia="仿宋" w:cs="仿宋"/>
                <w:color w:val="000000"/>
                <w:sz w:val="24"/>
                <w:szCs w:val="24"/>
              </w:rPr>
            </w:pPr>
            <w:r>
              <w:rPr>
                <w:rFonts w:hint="eastAsia" w:ascii="仿宋" w:hAnsi="仿宋" w:eastAsia="仿宋" w:cs="仿宋"/>
                <w:color w:val="000000"/>
                <w:kern w:val="0"/>
                <w:sz w:val="24"/>
                <w:szCs w:val="24"/>
                <w:lang w:bidi="ar"/>
              </w:rPr>
              <w:t>为武汉市中心医院南京路、后湖、杨春湖三个院区提供日常问题受理与处置服务，主要包括：受理临床科室在医疗系统使用、设备故障、软件系统故障等方面的咨询与报修，并对问题进行分类记录、跟踪处置及结果反馈等。</w:t>
            </w:r>
          </w:p>
        </w:tc>
      </w:tr>
      <w:tr w14:paraId="3AB01F04">
        <w:tblPrEx>
          <w:tblCellMar>
            <w:top w:w="0" w:type="dxa"/>
            <w:left w:w="108" w:type="dxa"/>
            <w:bottom w:w="0" w:type="dxa"/>
            <w:right w:w="108" w:type="dxa"/>
          </w:tblCellMar>
        </w:tblPrEx>
        <w:trPr>
          <w:trHeight w:val="90" w:hRule="atLeast"/>
        </w:trPr>
        <w:tc>
          <w:tcPr>
            <w:tcW w:w="1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E257FF">
            <w:pPr>
              <w:widowControl/>
              <w:jc w:val="center"/>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驻场要求</w:t>
            </w:r>
          </w:p>
        </w:tc>
        <w:tc>
          <w:tcPr>
            <w:tcW w:w="666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569572">
            <w:pPr>
              <w:pStyle w:val="6"/>
              <w:numPr>
                <w:ilvl w:val="1"/>
                <w:numId w:val="0"/>
              </w:numPr>
              <w:spacing w:line="240" w:lineRule="auto"/>
              <w:rPr>
                <w:rFonts w:ascii="仿宋" w:hAnsi="仿宋" w:eastAsia="仿宋" w:cs="仿宋"/>
                <w:color w:val="000000"/>
                <w:kern w:val="0"/>
                <w:sz w:val="24"/>
                <w:szCs w:val="24"/>
                <w:lang w:bidi="ar"/>
              </w:rPr>
            </w:pPr>
            <w:r>
              <w:rPr>
                <w:rFonts w:hint="eastAsia" w:ascii="仿宋" w:hAnsi="仿宋" w:eastAsia="仿宋" w:cs="仿宋"/>
                <w:b w:val="0"/>
                <w:bCs/>
                <w:sz w:val="24"/>
                <w:szCs w:val="24"/>
              </w:rPr>
              <w:t>提供不少于3人的驻场工程师、2人的二线支持工程师团队为院方提供驻场服务，驻场时间为5天×9小时（非驻场时段，非正常工作时间须保持电话畅通并随时待命。节假日或特殊保障时期，根据院方要求，相关服务人员需60分钟内赶到现场并完成相应工作）服务地点为武汉市中心医院，具体人员分配按招标方要求。</w:t>
            </w:r>
          </w:p>
        </w:tc>
      </w:tr>
    </w:tbl>
    <w:p w14:paraId="6187CA88">
      <w:pPr>
        <w:numPr>
          <w:ilvl w:val="0"/>
          <w:numId w:val="0"/>
        </w:numPr>
        <w:bidi w:val="0"/>
        <w:spacing w:line="360" w:lineRule="auto"/>
        <w:rPr>
          <w:rFonts w:hint="eastAsia" w:ascii="仿宋" w:hAnsi="仿宋" w:eastAsia="仿宋" w:cs="Times New Roman"/>
          <w:b/>
          <w:color w:val="0000FF"/>
          <w:sz w:val="24"/>
          <w:szCs w:val="24"/>
          <w:lang w:val="zh-CN"/>
        </w:rPr>
      </w:pPr>
    </w:p>
    <w:p w14:paraId="02C712A6">
      <w:pPr>
        <w:pStyle w:val="4"/>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项目需求</w:t>
      </w:r>
    </w:p>
    <w:p w14:paraId="3444B367">
      <w:pPr>
        <w:pStyle w:val="8"/>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1. 总体原则</w:t>
      </w:r>
    </w:p>
    <w:p w14:paraId="0226ECD3">
      <w:pPr>
        <w:pStyle w:val="8"/>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软件稳定</w:t>
      </w:r>
      <w:r>
        <w:rPr>
          <w:rFonts w:hint="eastAsia" w:ascii="仿宋" w:hAnsi="仿宋" w:eastAsia="仿宋" w:cs="仿宋"/>
          <w:sz w:val="24"/>
          <w:szCs w:val="24"/>
          <w:lang w:val="en-US" w:eastAsia="zh-CN"/>
        </w:rPr>
        <w:t>性</w:t>
      </w:r>
      <w:r>
        <w:rPr>
          <w:rFonts w:hint="eastAsia" w:ascii="仿宋" w:hAnsi="仿宋" w:eastAsia="仿宋" w:cs="仿宋"/>
          <w:sz w:val="24"/>
          <w:szCs w:val="24"/>
          <w:lang w:val="zh-CN" w:eastAsia="zh-CN"/>
        </w:rPr>
        <w:t>：确保在长时间运行中不出现崩溃、数据丢失等问题，以保障患者安全。</w:t>
      </w:r>
    </w:p>
    <w:p w14:paraId="035BF352">
      <w:pPr>
        <w:pStyle w:val="8"/>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安全性保障：确保软件系统的安全性，防止数据泄露、非法访问等安全问题。</w:t>
      </w:r>
    </w:p>
    <w:p w14:paraId="7B012D62">
      <w:pPr>
        <w:pStyle w:val="8"/>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可维护性提升：通过重构优化软件结构，降低维护成本，提高维护效率。</w:t>
      </w:r>
    </w:p>
    <w:p w14:paraId="2D77A174">
      <w:pPr>
        <w:pStyle w:val="8"/>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可扩展性增强：为未来的功能扩展和升级预留空间，满足医疗行业不断发展的需求。</w:t>
      </w:r>
    </w:p>
    <w:p w14:paraId="0C89904A">
      <w:pPr>
        <w:pStyle w:val="8"/>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数据保密性：采用加密技术保护关键数据，防止非授权人员获取数据，确保数据传输过程的安全性。</w:t>
      </w:r>
    </w:p>
    <w:p w14:paraId="57DF7218">
      <w:pPr>
        <w:pStyle w:val="8"/>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val="zh-CN" w:eastAsia="zh-CN"/>
        </w:rPr>
        <w:t>总体要求</w:t>
      </w:r>
    </w:p>
    <w:p w14:paraId="2C159969">
      <w:pPr>
        <w:pStyle w:val="13"/>
        <w:numPr>
          <w:ilvl w:val="2"/>
          <w:numId w:val="4"/>
        </w:numPr>
        <w:spacing w:line="360" w:lineRule="auto"/>
        <w:ind w:firstLineChars="0"/>
        <w:rPr>
          <w:rFonts w:ascii="仿宋" w:hAnsi="仿宋" w:eastAsia="仿宋" w:cs="仿宋"/>
          <w:color w:val="000000"/>
          <w:sz w:val="24"/>
          <w:szCs w:val="24"/>
        </w:rPr>
      </w:pPr>
      <w:r>
        <w:rPr>
          <w:rFonts w:hint="eastAsia" w:ascii="仿宋" w:hAnsi="仿宋" w:eastAsia="仿宋" w:cs="仿宋"/>
          <w:bCs/>
          <w:color w:val="000000" w:themeColor="text1"/>
          <w:sz w:val="24"/>
          <w:szCs w:val="24"/>
          <w:lang w:val="en-US" w:eastAsia="zh-CN"/>
          <w14:textFill>
            <w14:solidFill>
              <w14:schemeClr w14:val="tx1"/>
            </w14:solidFill>
          </w14:textFill>
        </w:rPr>
        <w:t>应</w:t>
      </w:r>
      <w:r>
        <w:rPr>
          <w:rFonts w:hint="eastAsia" w:ascii="仿宋" w:hAnsi="仿宋" w:eastAsia="仿宋" w:cs="仿宋"/>
          <w:bCs/>
          <w:color w:val="000000" w:themeColor="text1"/>
          <w:sz w:val="24"/>
          <w:szCs w:val="24"/>
          <w14:textFill>
            <w14:solidFill>
              <w14:schemeClr w14:val="tx1"/>
            </w14:solidFill>
          </w14:textFill>
        </w:rPr>
        <w:t>急指挥中心平台运维优化服务人员标准要求：驻场人员须具备同等规模医疗驻场服务1年以上IT、信息系统维护相关工作经验，具备较强的服务管理、组织协调能力，具备团队工作精神；</w:t>
      </w:r>
    </w:p>
    <w:p w14:paraId="53AB0D16">
      <w:pPr>
        <w:pStyle w:val="13"/>
        <w:numPr>
          <w:ilvl w:val="2"/>
          <w:numId w:val="4"/>
        </w:numPr>
        <w:spacing w:line="360" w:lineRule="auto"/>
        <w:ind w:firstLineChars="0"/>
        <w:rPr>
          <w:rFonts w:ascii="仿宋" w:hAnsi="仿宋" w:eastAsia="仿宋" w:cs="仿宋"/>
          <w:color w:val="000000"/>
          <w:sz w:val="24"/>
          <w:szCs w:val="24"/>
        </w:rPr>
      </w:pPr>
      <w:r>
        <w:rPr>
          <w:rFonts w:hint="eastAsia" w:ascii="仿宋" w:hAnsi="仿宋" w:eastAsia="仿宋" w:cs="仿宋"/>
          <w:color w:val="000000"/>
          <w:sz w:val="24"/>
          <w:szCs w:val="24"/>
        </w:rPr>
        <w:t>中标人必须为工程师提供办公电脑及运维工具，与采购人签署安全保密承诺，相关服务人员须严格执行相关保密规定，投标人具体服务过程中的所有资料和结果，在服务过程期间和服务结束后，投标人不得带离项目现场，不得存储于业主规定以外的存储介质，系统和设备运行数据，绝不带出院外做其他演示、展示等非甲方业务的用途。（投标人提供承诺函）</w:t>
      </w:r>
    </w:p>
    <w:p w14:paraId="6421EAD1">
      <w:pPr>
        <w:pStyle w:val="13"/>
        <w:numPr>
          <w:ilvl w:val="2"/>
          <w:numId w:val="4"/>
        </w:numPr>
        <w:spacing w:line="360" w:lineRule="auto"/>
        <w:ind w:firstLineChars="0"/>
        <w:rPr>
          <w:rFonts w:ascii="仿宋" w:hAnsi="仿宋" w:eastAsia="仿宋" w:cs="仿宋"/>
          <w:color w:val="000000"/>
          <w:sz w:val="24"/>
          <w:szCs w:val="24"/>
        </w:rPr>
      </w:pPr>
      <w:r>
        <w:rPr>
          <w:rFonts w:hint="eastAsia" w:ascii="仿宋" w:hAnsi="仿宋" w:eastAsia="仿宋" w:cs="仿宋"/>
          <w:color w:val="000000"/>
          <w:sz w:val="24"/>
          <w:szCs w:val="24"/>
        </w:rPr>
        <w:t>采购人将对中标人提供的相关服务人员进行面试，面试合格后，须通过一个月试用期考核合格后正式上岗。面试不通过，或者试用期考核不合格，中标方应当立即重新选派人员。若中标方驻场人员出现严重失职、违反职业道德、不能胜任工作、与项目团队存在严重冲突、涉及违法违纪行为，或因其健康原因长期无法履行职责等情况，医院信息中心有权要求中标方更换派驻人员。更换人员须具备相应资质，中标人内部做好工作交接，且更换过程不得影响工作进度和质量。</w:t>
      </w:r>
    </w:p>
    <w:p w14:paraId="043A4E5D">
      <w:pPr>
        <w:pStyle w:val="13"/>
        <w:numPr>
          <w:ilvl w:val="2"/>
          <w:numId w:val="4"/>
        </w:numPr>
        <w:spacing w:line="360" w:lineRule="auto"/>
        <w:ind w:firstLineChars="0"/>
        <w:rPr>
          <w:rFonts w:ascii="仿宋" w:hAnsi="仿宋" w:eastAsia="仿宋" w:cs="仿宋"/>
          <w:color w:val="000000"/>
          <w:sz w:val="24"/>
          <w:szCs w:val="24"/>
        </w:rPr>
      </w:pPr>
      <w:r>
        <w:rPr>
          <w:rFonts w:hint="eastAsia" w:ascii="仿宋" w:hAnsi="仿宋" w:eastAsia="仿宋" w:cs="仿宋"/>
          <w:color w:val="000000"/>
          <w:sz w:val="24"/>
          <w:szCs w:val="24"/>
        </w:rPr>
        <w:t>服务期间，中标人不得私自更换服务人员，如因驻场人员工作变动或个人原因等情况确需更换的，需提前一个月通过书面形式向院方提交申请，驻场人员必须接受院方的监督和管理；</w:t>
      </w:r>
    </w:p>
    <w:p w14:paraId="2D106134">
      <w:pPr>
        <w:pStyle w:val="8"/>
        <w:keepNext w:val="0"/>
        <w:keepLines w:val="0"/>
        <w:pageBreakBefore w:val="0"/>
        <w:widowControl w:val="0"/>
        <w:numPr>
          <w:ilvl w:val="0"/>
          <w:numId w:val="0"/>
        </w:numPr>
        <w:kinsoku/>
        <w:wordWrap/>
        <w:overflowPunct/>
        <w:topLinePunct w:val="0"/>
        <w:autoSpaceDE/>
        <w:autoSpaceDN/>
        <w:bidi w:val="0"/>
        <w:adjustRightInd/>
        <w:snapToGrid/>
        <w:spacing w:after="120"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val="zh-CN" w:eastAsia="zh-CN"/>
        </w:rPr>
        <w:t>）需遵守医院的信息安全规定，对医院的网络、主机、系统软件、应用软件等的密码、核心参数、业务数据等负有保密责任，未经医院书面同意不得随意复制和传播。</w:t>
      </w:r>
    </w:p>
    <w:p w14:paraId="2A591B7B">
      <w:pPr>
        <w:pStyle w:val="8"/>
        <w:keepNext w:val="0"/>
        <w:keepLines w:val="0"/>
        <w:pageBreakBefore w:val="0"/>
        <w:widowControl w:val="0"/>
        <w:numPr>
          <w:ilvl w:val="0"/>
          <w:numId w:val="0"/>
        </w:numPr>
        <w:kinsoku/>
        <w:wordWrap/>
        <w:overflowPunct/>
        <w:topLinePunct w:val="0"/>
        <w:autoSpaceDE/>
        <w:autoSpaceDN/>
        <w:bidi w:val="0"/>
        <w:adjustRightInd/>
        <w:snapToGrid/>
        <w:spacing w:after="120" w:line="360" w:lineRule="auto"/>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val="zh-CN" w:eastAsia="zh-CN"/>
        </w:rPr>
        <w:t>）及时响应院方的重大维护保障需求，对于医院机房、网络、服务器调整或搬迁等重大维护配合要求，医院将提前5个工作日书面通知公司，公司需安排技术人员按时提供协助配合。</w:t>
      </w:r>
    </w:p>
    <w:p w14:paraId="35157CED">
      <w:pPr>
        <w:pStyle w:val="8"/>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val="zh-CN" w:eastAsia="zh-CN"/>
        </w:rPr>
        <w:t>. 用户支持</w:t>
      </w:r>
    </w:p>
    <w:tbl>
      <w:tblPr>
        <w:tblStyle w:val="11"/>
        <w:tblW w:w="0" w:type="auto"/>
        <w:tblInd w:w="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1"/>
        <w:gridCol w:w="6245"/>
      </w:tblGrid>
      <w:tr w14:paraId="3A0B7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91" w:type="dxa"/>
            <w:vAlign w:val="center"/>
          </w:tcPr>
          <w:p w14:paraId="762E1E33">
            <w:pPr>
              <w:ind w:firstLine="120" w:firstLineChars="50"/>
              <w:jc w:val="center"/>
              <w:rPr>
                <w:rFonts w:ascii="仿宋" w:hAnsi="仿宋" w:eastAsia="仿宋" w:cs="仿宋"/>
                <w:b/>
                <w:sz w:val="24"/>
                <w:szCs w:val="24"/>
              </w:rPr>
            </w:pPr>
            <w:r>
              <w:rPr>
                <w:rFonts w:hint="eastAsia" w:ascii="仿宋" w:hAnsi="仿宋" w:eastAsia="仿宋" w:cs="仿宋"/>
                <w:b/>
                <w:sz w:val="24"/>
                <w:szCs w:val="24"/>
              </w:rPr>
              <w:t>服务项目</w:t>
            </w:r>
          </w:p>
        </w:tc>
        <w:tc>
          <w:tcPr>
            <w:tcW w:w="6245" w:type="dxa"/>
            <w:vAlign w:val="center"/>
          </w:tcPr>
          <w:p w14:paraId="624988A1">
            <w:pPr>
              <w:ind w:firstLine="120" w:firstLineChars="50"/>
              <w:jc w:val="center"/>
              <w:rPr>
                <w:rFonts w:ascii="仿宋" w:hAnsi="仿宋" w:eastAsia="仿宋" w:cs="仿宋"/>
                <w:b/>
                <w:sz w:val="24"/>
                <w:szCs w:val="24"/>
              </w:rPr>
            </w:pPr>
            <w:r>
              <w:rPr>
                <w:rFonts w:hint="eastAsia" w:ascii="仿宋" w:hAnsi="仿宋" w:eastAsia="仿宋" w:cs="仿宋"/>
                <w:b/>
                <w:sz w:val="24"/>
                <w:szCs w:val="24"/>
              </w:rPr>
              <w:t>服务级别承诺值</w:t>
            </w:r>
          </w:p>
        </w:tc>
      </w:tr>
      <w:tr w14:paraId="7BC4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91" w:type="dxa"/>
            <w:vAlign w:val="center"/>
          </w:tcPr>
          <w:p w14:paraId="65D2D3A1">
            <w:pPr>
              <w:ind w:firstLine="120" w:firstLineChars="50"/>
              <w:jc w:val="center"/>
              <w:rPr>
                <w:rFonts w:ascii="仿宋" w:hAnsi="仿宋" w:eastAsia="仿宋" w:cs="仿宋"/>
                <w:bCs/>
                <w:sz w:val="24"/>
                <w:szCs w:val="24"/>
              </w:rPr>
            </w:pPr>
            <w:r>
              <w:rPr>
                <w:rFonts w:hint="eastAsia" w:ascii="仿宋" w:hAnsi="仿宋" w:eastAsia="仿宋" w:cs="仿宋"/>
                <w:bCs/>
                <w:sz w:val="24"/>
                <w:szCs w:val="24"/>
              </w:rPr>
              <w:t>电话接听率</w:t>
            </w:r>
          </w:p>
        </w:tc>
        <w:tc>
          <w:tcPr>
            <w:tcW w:w="6245" w:type="dxa"/>
            <w:vAlign w:val="center"/>
          </w:tcPr>
          <w:p w14:paraId="640DAD77">
            <w:pPr>
              <w:ind w:firstLine="120" w:firstLineChars="50"/>
              <w:jc w:val="center"/>
              <w:rPr>
                <w:rFonts w:ascii="仿宋" w:hAnsi="仿宋" w:eastAsia="仿宋" w:cs="仿宋"/>
                <w:b/>
                <w:sz w:val="24"/>
                <w:szCs w:val="24"/>
              </w:rPr>
            </w:pPr>
            <w:r>
              <w:rPr>
                <w:rFonts w:ascii="仿宋" w:hAnsi="仿宋" w:eastAsia="仿宋"/>
                <w:color w:val="000000" w:themeColor="text1"/>
                <w:sz w:val="24"/>
                <w:szCs w:val="24"/>
                <w14:textFill>
                  <w14:solidFill>
                    <w14:schemeClr w14:val="tx1"/>
                  </w14:solidFill>
                </w14:textFill>
              </w:rPr>
              <w:t>保障电话接听率≥95%</w:t>
            </w:r>
          </w:p>
        </w:tc>
      </w:tr>
      <w:tr w14:paraId="31A8F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91" w:type="dxa"/>
            <w:vAlign w:val="center"/>
          </w:tcPr>
          <w:p w14:paraId="3EDE3E1D">
            <w:pPr>
              <w:ind w:firstLine="120" w:firstLineChars="50"/>
              <w:jc w:val="center"/>
              <w:rPr>
                <w:rFonts w:ascii="仿宋" w:hAnsi="仿宋" w:eastAsia="仿宋" w:cs="仿宋"/>
                <w:bCs/>
                <w:sz w:val="24"/>
                <w:szCs w:val="24"/>
              </w:rPr>
            </w:pPr>
            <w:r>
              <w:rPr>
                <w:rFonts w:hint="eastAsia" w:ascii="仿宋" w:hAnsi="仿宋" w:eastAsia="仿宋" w:cs="仿宋"/>
                <w:bCs/>
                <w:sz w:val="24"/>
                <w:szCs w:val="24"/>
              </w:rPr>
              <w:t>问题响应时间</w:t>
            </w:r>
          </w:p>
        </w:tc>
        <w:tc>
          <w:tcPr>
            <w:tcW w:w="6245" w:type="dxa"/>
            <w:vAlign w:val="center"/>
          </w:tcPr>
          <w:p w14:paraId="6F01C329">
            <w:pPr>
              <w:ind w:firstLine="120" w:firstLineChars="50"/>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w:t>
            </w:r>
            <w:r>
              <w:rPr>
                <w:rFonts w:ascii="仿宋" w:hAnsi="仿宋" w:eastAsia="仿宋"/>
                <w:color w:val="000000" w:themeColor="text1"/>
                <w:sz w:val="24"/>
                <w:szCs w:val="24"/>
                <w14:textFill>
                  <w14:solidFill>
                    <w14:schemeClr w14:val="tx1"/>
                  </w14:solidFill>
                </w14:textFill>
              </w:rPr>
              <w:t>0</w:t>
            </w:r>
            <w:r>
              <w:rPr>
                <w:rFonts w:hint="eastAsia" w:ascii="仿宋" w:hAnsi="仿宋" w:eastAsia="仿宋"/>
                <w:color w:val="000000" w:themeColor="text1"/>
                <w:sz w:val="24"/>
                <w:szCs w:val="24"/>
                <w14:textFill>
                  <w14:solidFill>
                    <w14:schemeClr w14:val="tx1"/>
                  </w14:solidFill>
                </w14:textFill>
              </w:rPr>
              <w:t>分钟</w:t>
            </w:r>
          </w:p>
        </w:tc>
      </w:tr>
      <w:tr w14:paraId="44F0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91" w:type="dxa"/>
            <w:vAlign w:val="center"/>
          </w:tcPr>
          <w:p w14:paraId="3A88C0A8">
            <w:pPr>
              <w:ind w:firstLine="120" w:firstLineChars="50"/>
              <w:jc w:val="center"/>
              <w:rPr>
                <w:rFonts w:ascii="仿宋" w:hAnsi="仿宋" w:eastAsia="仿宋" w:cs="仿宋"/>
                <w:bCs/>
                <w:sz w:val="24"/>
                <w:szCs w:val="24"/>
              </w:rPr>
            </w:pPr>
            <w:r>
              <w:rPr>
                <w:rFonts w:hint="eastAsia" w:ascii="仿宋" w:hAnsi="仿宋" w:eastAsia="仿宋" w:cs="仿宋"/>
                <w:bCs/>
                <w:sz w:val="24"/>
                <w:szCs w:val="24"/>
              </w:rPr>
              <w:t>故障直接解决率</w:t>
            </w:r>
          </w:p>
        </w:tc>
        <w:tc>
          <w:tcPr>
            <w:tcW w:w="6245" w:type="dxa"/>
            <w:vAlign w:val="center"/>
          </w:tcPr>
          <w:p w14:paraId="2B53B26B">
            <w:pPr>
              <w:ind w:firstLine="120" w:firstLineChars="50"/>
              <w:jc w:val="center"/>
              <w:rPr>
                <w:rFonts w:ascii="仿宋" w:hAnsi="仿宋" w:eastAsia="仿宋" w:cs="仿宋"/>
                <w:b/>
                <w:sz w:val="24"/>
                <w:szCs w:val="24"/>
              </w:rPr>
            </w:pPr>
            <w:r>
              <w:rPr>
                <w:rFonts w:hint="eastAsia" w:ascii="仿宋" w:hAnsi="仿宋" w:eastAsia="仿宋"/>
                <w:color w:val="000000" w:themeColor="text1"/>
                <w:sz w:val="24"/>
                <w:szCs w:val="24"/>
                <w14:textFill>
                  <w14:solidFill>
                    <w14:schemeClr w14:val="tx1"/>
                  </w14:solidFill>
                </w14:textFill>
              </w:rPr>
              <w:t>问题直接解决率≥6</w:t>
            </w:r>
            <w:r>
              <w:rPr>
                <w:rFonts w:ascii="仿宋" w:hAnsi="仿宋" w:eastAsia="仿宋"/>
                <w:color w:val="000000" w:themeColor="text1"/>
                <w:sz w:val="24"/>
                <w:szCs w:val="24"/>
                <w14:textFill>
                  <w14:solidFill>
                    <w14:schemeClr w14:val="tx1"/>
                  </w14:solidFill>
                </w14:textFill>
              </w:rPr>
              <w:t>0%</w:t>
            </w:r>
            <w:r>
              <w:rPr>
                <w:rFonts w:hint="eastAsia" w:ascii="仿宋" w:hAnsi="仿宋" w:eastAsia="仿宋"/>
                <w:color w:val="000000" w:themeColor="text1"/>
                <w:sz w:val="24"/>
                <w:szCs w:val="24"/>
                <w14:textFill>
                  <w14:solidFill>
                    <w14:schemeClr w14:val="tx1"/>
                  </w14:solidFill>
                </w14:textFill>
              </w:rPr>
              <w:t>（远程方式、电话方式、现场方式）</w:t>
            </w:r>
          </w:p>
        </w:tc>
      </w:tr>
      <w:tr w14:paraId="5697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91" w:type="dxa"/>
            <w:vAlign w:val="center"/>
          </w:tcPr>
          <w:p w14:paraId="56B868D0">
            <w:pPr>
              <w:ind w:firstLine="120" w:firstLineChars="50"/>
              <w:jc w:val="center"/>
              <w:rPr>
                <w:rFonts w:ascii="仿宋" w:hAnsi="仿宋" w:eastAsia="仿宋" w:cs="仿宋"/>
                <w:bCs/>
                <w:sz w:val="24"/>
                <w:szCs w:val="24"/>
              </w:rPr>
            </w:pPr>
            <w:r>
              <w:rPr>
                <w:rFonts w:hint="eastAsia" w:ascii="仿宋" w:hAnsi="仿宋" w:eastAsia="仿宋" w:cs="仿宋"/>
                <w:bCs/>
                <w:sz w:val="24"/>
                <w:szCs w:val="24"/>
              </w:rPr>
              <w:t>故障整体解决率</w:t>
            </w:r>
          </w:p>
        </w:tc>
        <w:tc>
          <w:tcPr>
            <w:tcW w:w="6245" w:type="dxa"/>
            <w:vAlign w:val="center"/>
          </w:tcPr>
          <w:p w14:paraId="7B99CE99">
            <w:pPr>
              <w:ind w:firstLine="120" w:firstLineChars="50"/>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问题整体解决率≥9</w:t>
            </w:r>
            <w:r>
              <w:rPr>
                <w:rFonts w:ascii="仿宋" w:hAnsi="仿宋" w:eastAsia="仿宋"/>
                <w:color w:val="000000" w:themeColor="text1"/>
                <w:sz w:val="24"/>
                <w:szCs w:val="24"/>
                <w14:textFill>
                  <w14:solidFill>
                    <w14:schemeClr w14:val="tx1"/>
                  </w14:solidFill>
                </w14:textFill>
              </w:rPr>
              <w:t>5%</w:t>
            </w:r>
          </w:p>
        </w:tc>
      </w:tr>
      <w:tr w14:paraId="3983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91" w:type="dxa"/>
            <w:vAlign w:val="center"/>
          </w:tcPr>
          <w:p w14:paraId="157B7C26">
            <w:pPr>
              <w:ind w:firstLine="120" w:firstLineChars="50"/>
              <w:jc w:val="center"/>
              <w:rPr>
                <w:rFonts w:ascii="仿宋" w:hAnsi="仿宋" w:eastAsia="仿宋" w:cs="仿宋"/>
                <w:bCs/>
                <w:sz w:val="24"/>
                <w:szCs w:val="24"/>
              </w:rPr>
            </w:pPr>
            <w:r>
              <w:rPr>
                <w:rFonts w:hint="eastAsia" w:ascii="仿宋" w:hAnsi="仿宋" w:eastAsia="仿宋" w:cs="仿宋"/>
                <w:bCs/>
                <w:sz w:val="24"/>
                <w:szCs w:val="24"/>
              </w:rPr>
              <w:t>知识库文档</w:t>
            </w:r>
          </w:p>
        </w:tc>
        <w:tc>
          <w:tcPr>
            <w:tcW w:w="6245" w:type="dxa"/>
            <w:vAlign w:val="center"/>
          </w:tcPr>
          <w:p w14:paraId="3D567999">
            <w:pPr>
              <w:ind w:firstLine="120" w:firstLineChars="50"/>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w:t>
            </w:r>
            <w:r>
              <w:rPr>
                <w:rFonts w:ascii="仿宋" w:hAnsi="仿宋" w:eastAsia="仿宋"/>
                <w:color w:val="000000" w:themeColor="text1"/>
                <w:sz w:val="24"/>
                <w:szCs w:val="24"/>
                <w14:textFill>
                  <w14:solidFill>
                    <w14:schemeClr w14:val="tx1"/>
                  </w14:solidFill>
                </w14:textFill>
              </w:rPr>
              <w:t>00</w:t>
            </w:r>
            <w:r>
              <w:rPr>
                <w:rFonts w:hint="eastAsia" w:ascii="仿宋" w:hAnsi="仿宋" w:eastAsia="仿宋"/>
                <w:color w:val="000000" w:themeColor="text1"/>
                <w:sz w:val="24"/>
                <w:szCs w:val="24"/>
                <w14:textFill>
                  <w14:solidFill>
                    <w14:schemeClr w14:val="tx1"/>
                  </w14:solidFill>
                </w14:textFill>
              </w:rPr>
              <w:t>（篇</w:t>
            </w:r>
            <w:r>
              <w:rPr>
                <w:rFonts w:ascii="仿宋" w:hAnsi="仿宋" w:eastAsia="仿宋"/>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年）</w:t>
            </w:r>
          </w:p>
        </w:tc>
      </w:tr>
      <w:tr w14:paraId="68382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91" w:type="dxa"/>
            <w:vAlign w:val="center"/>
          </w:tcPr>
          <w:p w14:paraId="0D959046">
            <w:pPr>
              <w:ind w:firstLine="120" w:firstLineChars="50"/>
              <w:jc w:val="center"/>
              <w:rPr>
                <w:rFonts w:ascii="仿宋" w:hAnsi="仿宋" w:eastAsia="仿宋" w:cs="仿宋"/>
                <w:bCs/>
                <w:sz w:val="24"/>
                <w:szCs w:val="24"/>
              </w:rPr>
            </w:pPr>
            <w:r>
              <w:rPr>
                <w:rFonts w:hint="eastAsia" w:ascii="仿宋" w:hAnsi="仿宋" w:eastAsia="仿宋" w:cs="仿宋"/>
                <w:bCs/>
                <w:sz w:val="24"/>
                <w:szCs w:val="24"/>
              </w:rPr>
              <w:t>会议保障率</w:t>
            </w:r>
          </w:p>
        </w:tc>
        <w:tc>
          <w:tcPr>
            <w:tcW w:w="6245" w:type="dxa"/>
            <w:vAlign w:val="center"/>
          </w:tcPr>
          <w:p w14:paraId="3DCC7884">
            <w:pPr>
              <w:ind w:firstLine="120" w:firstLineChars="50"/>
              <w:jc w:val="center"/>
              <w:rPr>
                <w:rFonts w:ascii="仿宋" w:hAnsi="仿宋" w:eastAsia="仿宋" w:cs="仿宋"/>
                <w:bCs/>
                <w:sz w:val="24"/>
                <w:szCs w:val="24"/>
              </w:rPr>
            </w:pPr>
            <w:r>
              <w:rPr>
                <w:rFonts w:hint="eastAsia" w:ascii="仿宋" w:hAnsi="仿宋" w:eastAsia="仿宋" w:cs="仿宋"/>
                <w:bCs/>
                <w:sz w:val="24"/>
                <w:szCs w:val="24"/>
              </w:rPr>
              <w:t>保障会议期间设备正常运行</w:t>
            </w:r>
            <w:r>
              <w:rPr>
                <w:rFonts w:hint="eastAsia" w:ascii="仿宋" w:hAnsi="仿宋" w:eastAsia="仿宋"/>
                <w:bCs/>
                <w:color w:val="000000" w:themeColor="text1"/>
                <w:sz w:val="24"/>
                <w:szCs w:val="24"/>
                <w14:textFill>
                  <w14:solidFill>
                    <w14:schemeClr w14:val="tx1"/>
                  </w14:solidFill>
                </w14:textFill>
              </w:rPr>
              <w:t>≥9</w:t>
            </w:r>
            <w:r>
              <w:rPr>
                <w:rFonts w:ascii="仿宋" w:hAnsi="仿宋" w:eastAsia="仿宋"/>
                <w:bCs/>
                <w:color w:val="000000" w:themeColor="text1"/>
                <w:sz w:val="24"/>
                <w:szCs w:val="24"/>
                <w14:textFill>
                  <w14:solidFill>
                    <w14:schemeClr w14:val="tx1"/>
                  </w14:solidFill>
                </w14:textFill>
              </w:rPr>
              <w:t>5%</w:t>
            </w:r>
          </w:p>
        </w:tc>
      </w:tr>
    </w:tbl>
    <w:p w14:paraId="4321534A">
      <w:pPr>
        <w:pStyle w:val="8"/>
        <w:spacing w:after="120"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4.信息安全要求</w:t>
      </w:r>
    </w:p>
    <w:p w14:paraId="14157E0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010544FD">
      <w:pPr>
        <w:pStyle w:val="8"/>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val="zh-CN" w:eastAsia="zh-CN"/>
        </w:rPr>
        <w:t>其他要求</w:t>
      </w:r>
    </w:p>
    <w:p w14:paraId="448353AC">
      <w:pPr>
        <w:pStyle w:val="13"/>
        <w:numPr>
          <w:ilvl w:val="2"/>
          <w:numId w:val="5"/>
        </w:numPr>
        <w:spacing w:line="360" w:lineRule="auto"/>
        <w:ind w:firstLineChars="0"/>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基础运维管理服务</w:t>
      </w:r>
    </w:p>
    <w:p w14:paraId="7D2DB4AA">
      <w:pPr>
        <w:spacing w:line="360"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基础运维管理服务覆盖武汉市中心医院南京路、后湖、杨春湖三个院区，面向全体医护及职能部门人员，负责各类信息化系统及核心软件的问题受理。驻场人员依托自身专业知识与实践经验，遵循标准化诊断流程，对配置错误、账户锁定、典型故障等常见标准化问题实施自主诊断、直接处置与快速修复，力求在第一时间消除故障，最大限度减少不必要的升级流转与用户等待时间。</w:t>
      </w:r>
    </w:p>
    <w:p w14:paraId="5D78CD06">
      <w:pPr>
        <w:pStyle w:val="13"/>
        <w:numPr>
          <w:ilvl w:val="2"/>
          <w:numId w:val="5"/>
        </w:numPr>
        <w:spacing w:line="360" w:lineRule="auto"/>
        <w:ind w:firstLineChars="0"/>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综合运维保障服务</w:t>
      </w:r>
    </w:p>
    <w:p w14:paraId="7E5E5557">
      <w:pPr>
        <w:spacing w:line="360" w:lineRule="auto"/>
        <w:ind w:firstLine="480" w:firstLineChars="200"/>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针对杨春湖院区包含但不限于门诊楼4楼病理科大会议室，行政楼2楼报告厅、4楼、6楼数智化运营管理中心、7楼音视频会议室提供会议设备调试和会议保障服务及参观访问接待、讲解工作。采购人在服务期内新增的会议室也在服务范围。</w:t>
      </w:r>
    </w:p>
    <w:p w14:paraId="7B66AB39">
      <w:pPr>
        <w:numPr>
          <w:ilvl w:val="2"/>
          <w:numId w:val="5"/>
        </w:numPr>
        <w:spacing w:line="360" w:lineRule="auto"/>
        <w:ind w:left="0" w:leftChars="0" w:firstLine="402" w:firstLineChars="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平台功能优化服务</w:t>
      </w:r>
    </w:p>
    <w:p w14:paraId="41FE5910">
      <w:pPr>
        <w:numPr>
          <w:ilvl w:val="0"/>
          <w:numId w:val="0"/>
        </w:numPr>
        <w:spacing w:line="360"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为了更好</w:t>
      </w:r>
      <w:r>
        <w:rPr>
          <w:rFonts w:hint="eastAsia" w:ascii="仿宋" w:hAnsi="仿宋" w:eastAsia="仿宋" w:cs="宋体"/>
          <w:color w:val="000000" w:themeColor="text1"/>
          <w:sz w:val="24"/>
          <w:szCs w:val="24"/>
          <w:lang w:eastAsia="zh-CN"/>
          <w14:textFill>
            <w14:solidFill>
              <w14:schemeClr w14:val="tx1"/>
            </w14:solidFill>
          </w14:textFill>
        </w:rPr>
        <w:t>地</w:t>
      </w:r>
      <w:r>
        <w:rPr>
          <w:rFonts w:hint="eastAsia" w:ascii="仿宋" w:hAnsi="仿宋" w:eastAsia="仿宋" w:cs="宋体"/>
          <w:color w:val="000000" w:themeColor="text1"/>
          <w:sz w:val="24"/>
          <w:szCs w:val="24"/>
          <w14:textFill>
            <w14:solidFill>
              <w14:schemeClr w14:val="tx1"/>
            </w14:solidFill>
          </w14:textFill>
        </w:rPr>
        <w:t>实现应急管理业务应用体系全面覆盖各类业务在突发事件事前、事发、事中、事后发挥关键支撑作用，</w:t>
      </w:r>
      <w:r>
        <w:rPr>
          <w:rFonts w:hint="eastAsia" w:ascii="仿宋" w:hAnsi="仿宋" w:eastAsia="仿宋" w:cs="宋体"/>
          <w:color w:val="000000" w:themeColor="text1"/>
          <w:sz w:val="24"/>
          <w:szCs w:val="24"/>
          <w:lang w:eastAsia="zh-CN"/>
          <w14:textFill>
            <w14:solidFill>
              <w14:schemeClr w14:val="tx1"/>
            </w14:solidFill>
          </w14:textFill>
        </w:rPr>
        <w:t>依托</w:t>
      </w:r>
      <w:r>
        <w:rPr>
          <w:rFonts w:hint="eastAsia" w:ascii="仿宋" w:hAnsi="仿宋" w:eastAsia="仿宋" w:cs="宋体"/>
          <w:color w:val="000000" w:themeColor="text1"/>
          <w:sz w:val="24"/>
          <w:szCs w:val="24"/>
          <w14:textFill>
            <w14:solidFill>
              <w14:schemeClr w14:val="tx1"/>
            </w14:solidFill>
          </w14:textFill>
        </w:rPr>
        <w:t>现有的应急指挥中心平台对信息查询、资源调度和任务督办进行完善和优化。</w:t>
      </w:r>
    </w:p>
    <w:p w14:paraId="4D014997">
      <w:pPr>
        <w:pStyle w:val="2"/>
        <w:pBdr>
          <w:bottom w:val="none" w:color="auto" w:sz="0" w:space="0"/>
        </w:pBdr>
        <w:jc w:val="left"/>
        <w:rPr>
          <w:rFonts w:ascii="仿宋" w:hAnsi="仿宋" w:eastAsia="仿宋"/>
          <w:color w:val="000000" w:themeColor="text1"/>
          <w:sz w:val="21"/>
          <w:szCs w:val="21"/>
          <w14:textFill>
            <w14:solidFill>
              <w14:schemeClr w14:val="tx1"/>
            </w14:solidFill>
          </w14:textFill>
        </w:rPr>
      </w:pPr>
    </w:p>
    <w:p w14:paraId="4E65D2C2">
      <w:pPr>
        <w:pStyle w:val="13"/>
        <w:numPr>
          <w:ilvl w:val="0"/>
          <w:numId w:val="0"/>
        </w:numPr>
        <w:adjustRightInd w:val="0"/>
        <w:snapToGrid w:val="0"/>
        <w:spacing w:line="360" w:lineRule="auto"/>
        <w:ind w:left="484" w:leftChars="0"/>
        <w:jc w:val="left"/>
        <w:outlineLvl w:val="3"/>
        <w:rPr>
          <w:rFonts w:ascii="仿宋" w:hAnsi="仿宋" w:eastAsia="仿宋" w:cs="宋体"/>
          <w:b/>
          <w:bCs/>
          <w:color w:val="000000"/>
          <w:sz w:val="24"/>
          <w:szCs w:val="24"/>
        </w:rPr>
      </w:pPr>
      <w:r>
        <w:rPr>
          <w:rFonts w:hint="eastAsia" w:ascii="仿宋" w:hAnsi="仿宋" w:eastAsia="仿宋" w:cs="宋体"/>
          <w:b/>
          <w:bCs/>
          <w:color w:val="000000"/>
          <w:sz w:val="24"/>
          <w:szCs w:val="24"/>
          <w:lang w:val="en-US" w:eastAsia="zh-CN"/>
        </w:rPr>
        <w:t>5.1</w:t>
      </w:r>
      <w:r>
        <w:rPr>
          <w:rFonts w:hint="eastAsia" w:ascii="仿宋" w:hAnsi="仿宋" w:eastAsia="仿宋" w:cs="宋体"/>
          <w:b/>
          <w:bCs/>
          <w:color w:val="000000"/>
          <w:sz w:val="24"/>
          <w:szCs w:val="24"/>
        </w:rPr>
        <w:t>运维优化服务总体内容</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8"/>
        <w:gridCol w:w="1139"/>
        <w:gridCol w:w="6985"/>
      </w:tblGrid>
      <w:tr w14:paraId="50215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dxa"/>
            <w:tcBorders>
              <w:top w:val="single" w:color="auto" w:sz="12" w:space="0"/>
              <w:left w:val="single" w:color="auto" w:sz="12" w:space="0"/>
              <w:bottom w:val="single" w:color="auto" w:sz="12" w:space="0"/>
              <w:right w:val="single" w:color="auto" w:sz="6" w:space="0"/>
            </w:tcBorders>
            <w:shd w:val="pct10" w:color="auto" w:fill="auto"/>
            <w:vAlign w:val="center"/>
          </w:tcPr>
          <w:p w14:paraId="28CB6750">
            <w:pPr>
              <w:spacing w:line="400" w:lineRule="exact"/>
              <w:ind w:left="-57" w:leftChars="-27" w:right="-78" w:rightChars="-37"/>
              <w:jc w:val="center"/>
              <w:rPr>
                <w:rFonts w:ascii="仿宋" w:hAnsi="仿宋" w:eastAsia="仿宋"/>
                <w:color w:val="000000"/>
                <w:sz w:val="24"/>
                <w:szCs w:val="24"/>
              </w:rPr>
            </w:pPr>
            <w:r>
              <w:rPr>
                <w:rFonts w:hint="eastAsia" w:ascii="仿宋" w:hAnsi="仿宋" w:eastAsia="仿宋"/>
                <w:color w:val="000000"/>
                <w:sz w:val="24"/>
                <w:szCs w:val="24"/>
              </w:rPr>
              <w:t>序号</w:t>
            </w:r>
          </w:p>
        </w:tc>
        <w:tc>
          <w:tcPr>
            <w:tcW w:w="1275" w:type="dxa"/>
            <w:tcBorders>
              <w:top w:val="single" w:color="auto" w:sz="12" w:space="0"/>
              <w:left w:val="single" w:color="auto" w:sz="6" w:space="0"/>
              <w:bottom w:val="single" w:color="auto" w:sz="12" w:space="0"/>
              <w:right w:val="single" w:color="auto" w:sz="6" w:space="0"/>
            </w:tcBorders>
            <w:shd w:val="pct10" w:color="auto" w:fill="auto"/>
            <w:vAlign w:val="center"/>
          </w:tcPr>
          <w:p w14:paraId="1E474174">
            <w:pPr>
              <w:spacing w:line="400" w:lineRule="exact"/>
              <w:ind w:left="-57" w:leftChars="-27" w:right="-78" w:rightChars="-37"/>
              <w:jc w:val="center"/>
              <w:rPr>
                <w:rFonts w:ascii="仿宋" w:hAnsi="仿宋" w:eastAsia="仿宋"/>
                <w:color w:val="000000"/>
                <w:sz w:val="24"/>
                <w:szCs w:val="24"/>
              </w:rPr>
            </w:pPr>
            <w:r>
              <w:rPr>
                <w:rFonts w:hint="eastAsia" w:ascii="仿宋" w:hAnsi="仿宋" w:eastAsia="仿宋"/>
                <w:color w:val="000000"/>
                <w:sz w:val="24"/>
                <w:szCs w:val="24"/>
              </w:rPr>
              <w:t>类别</w:t>
            </w:r>
          </w:p>
        </w:tc>
        <w:tc>
          <w:tcPr>
            <w:tcW w:w="7815" w:type="dxa"/>
            <w:tcBorders>
              <w:top w:val="single" w:color="auto" w:sz="12" w:space="0"/>
              <w:left w:val="single" w:color="auto" w:sz="6" w:space="0"/>
              <w:bottom w:val="single" w:color="auto" w:sz="12" w:space="0"/>
              <w:right w:val="single" w:color="auto" w:sz="6" w:space="0"/>
            </w:tcBorders>
            <w:shd w:val="pct10" w:color="auto" w:fill="auto"/>
            <w:vAlign w:val="center"/>
          </w:tcPr>
          <w:p w14:paraId="2EA6CD5E">
            <w:pPr>
              <w:spacing w:line="400" w:lineRule="exact"/>
              <w:ind w:left="-92" w:leftChars="-44" w:right="-78" w:rightChars="-37"/>
              <w:jc w:val="center"/>
              <w:rPr>
                <w:rFonts w:ascii="仿宋" w:hAnsi="仿宋" w:eastAsia="仿宋"/>
                <w:color w:val="000000"/>
                <w:sz w:val="24"/>
                <w:szCs w:val="24"/>
              </w:rPr>
            </w:pPr>
            <w:r>
              <w:rPr>
                <w:rFonts w:hint="eastAsia" w:ascii="仿宋" w:hAnsi="仿宋" w:eastAsia="仿宋"/>
                <w:color w:val="000000"/>
                <w:sz w:val="24"/>
                <w:szCs w:val="24"/>
              </w:rPr>
              <w:t>服务内容</w:t>
            </w:r>
          </w:p>
        </w:tc>
      </w:tr>
      <w:tr w14:paraId="74DA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411" w:type="dxa"/>
            <w:vMerge w:val="restart"/>
            <w:tcBorders>
              <w:top w:val="single" w:color="auto" w:sz="12" w:space="0"/>
              <w:left w:val="single" w:color="auto" w:sz="12" w:space="0"/>
              <w:right w:val="single" w:color="auto" w:sz="6" w:space="0"/>
            </w:tcBorders>
            <w:vAlign w:val="center"/>
          </w:tcPr>
          <w:p w14:paraId="2AA91BE6">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restart"/>
            <w:tcBorders>
              <w:top w:val="single" w:color="auto" w:sz="12" w:space="0"/>
              <w:left w:val="single" w:color="auto" w:sz="6" w:space="0"/>
              <w:right w:val="single" w:color="auto" w:sz="6" w:space="0"/>
            </w:tcBorders>
            <w:vAlign w:val="center"/>
          </w:tcPr>
          <w:p w14:paraId="34A00113">
            <w:pPr>
              <w:spacing w:line="400" w:lineRule="exact"/>
              <w:ind w:left="-57" w:leftChars="-27" w:right="-78" w:rightChars="-37"/>
              <w:jc w:val="center"/>
              <w:rPr>
                <w:rFonts w:ascii="仿宋" w:hAnsi="仿宋" w:eastAsia="仿宋"/>
                <w:b/>
                <w:color w:val="000000"/>
                <w:sz w:val="24"/>
                <w:szCs w:val="24"/>
              </w:rPr>
            </w:pPr>
            <w:r>
              <w:rPr>
                <w:rFonts w:hint="eastAsia" w:ascii="仿宋" w:hAnsi="仿宋" w:eastAsia="仿宋"/>
                <w:color w:val="000000"/>
                <w:sz w:val="24"/>
                <w:szCs w:val="24"/>
              </w:rPr>
              <w:t>基础运维管理服务</w:t>
            </w:r>
          </w:p>
        </w:tc>
        <w:tc>
          <w:tcPr>
            <w:tcW w:w="7815" w:type="dxa"/>
            <w:tcBorders>
              <w:top w:val="single" w:color="auto" w:sz="12" w:space="0"/>
              <w:left w:val="single" w:color="auto" w:sz="6" w:space="0"/>
              <w:bottom w:val="single" w:color="auto" w:sz="4" w:space="0"/>
              <w:right w:val="single" w:color="auto" w:sz="6" w:space="0"/>
            </w:tcBorders>
            <w:vAlign w:val="center"/>
          </w:tcPr>
          <w:p w14:paraId="79560A6B">
            <w:pPr>
              <w:pStyle w:val="13"/>
              <w:numPr>
                <w:ilvl w:val="0"/>
                <w:numId w:val="7"/>
              </w:numPr>
              <w:tabs>
                <w:tab w:val="left" w:pos="214"/>
              </w:tabs>
              <w:spacing w:line="400" w:lineRule="exact"/>
              <w:ind w:left="550" w:right="-50" w:rightChars="-24" w:hanging="493" w:firstLineChars="0"/>
              <w:jc w:val="left"/>
              <w:rPr>
                <w:rFonts w:ascii="仿宋" w:hAnsi="仿宋" w:eastAsia="仿宋" w:cs="仿宋_GB2312"/>
                <w:color w:val="000000"/>
                <w:sz w:val="24"/>
                <w:szCs w:val="24"/>
              </w:rPr>
            </w:pPr>
            <w:r>
              <w:rPr>
                <w:rFonts w:hint="eastAsia" w:ascii="仿宋" w:hAnsi="仿宋" w:eastAsia="仿宋" w:cs="仿宋"/>
                <w:bCs/>
                <w:color w:val="000000" w:themeColor="text1"/>
                <w:sz w:val="24"/>
                <w:szCs w:val="24"/>
                <w14:textFill>
                  <w14:solidFill>
                    <w14:schemeClr w14:val="tx1"/>
                  </w14:solidFill>
                </w14:textFill>
              </w:rPr>
              <w:t>接收问题：接收用户提出的关于设备和系统的相关业务、技术问题，若为重大紧急问题则接收后第一时间告知相关人员；</w:t>
            </w:r>
          </w:p>
        </w:tc>
      </w:tr>
      <w:tr w14:paraId="33F2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0340D0E5">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689A9BDC">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4" w:space="0"/>
              <w:left w:val="single" w:color="auto" w:sz="6" w:space="0"/>
              <w:bottom w:val="single" w:color="auto" w:sz="6" w:space="0"/>
              <w:right w:val="single" w:color="auto" w:sz="6" w:space="0"/>
            </w:tcBorders>
            <w:vAlign w:val="center"/>
          </w:tcPr>
          <w:p w14:paraId="0E5A2962">
            <w:pPr>
              <w:pStyle w:val="13"/>
              <w:numPr>
                <w:ilvl w:val="0"/>
                <w:numId w:val="7"/>
              </w:numPr>
              <w:tabs>
                <w:tab w:val="left" w:pos="214"/>
              </w:tabs>
              <w:spacing w:line="400" w:lineRule="exact"/>
              <w:ind w:left="550" w:right="-50" w:rightChars="-24" w:hanging="493" w:firstLineChars="0"/>
              <w:jc w:val="left"/>
              <w:rPr>
                <w:rFonts w:ascii="仿宋" w:hAnsi="仿宋" w:eastAsia="仿宋" w:cs="仿宋_GB2312"/>
                <w:color w:val="000000"/>
                <w:sz w:val="24"/>
                <w:szCs w:val="24"/>
              </w:rPr>
            </w:pPr>
            <w:r>
              <w:rPr>
                <w:rFonts w:hint="eastAsia" w:ascii="仿宋" w:hAnsi="仿宋" w:eastAsia="仿宋" w:cs="仿宋"/>
                <w:bCs/>
                <w:color w:val="000000" w:themeColor="text1"/>
                <w:sz w:val="24"/>
                <w:szCs w:val="24"/>
                <w14:textFill>
                  <w14:solidFill>
                    <w14:schemeClr w14:val="tx1"/>
                  </w14:solidFill>
                </w14:textFill>
              </w:rPr>
              <w:t>查询知识库：接收问题后通过知识库查询是否存在相关知识，若有则按照知识库内容进行解答</w:t>
            </w:r>
            <w:r>
              <w:rPr>
                <w:rFonts w:hint="eastAsia" w:ascii="仿宋" w:hAnsi="仿宋" w:eastAsia="仿宋" w:cs="仿宋_GB2312"/>
                <w:color w:val="000000"/>
                <w:sz w:val="24"/>
                <w:szCs w:val="24"/>
              </w:rPr>
              <w:t>；</w:t>
            </w:r>
          </w:p>
        </w:tc>
      </w:tr>
      <w:tr w14:paraId="173D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725946B3">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65FA3B29">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4BBC70BB">
            <w:pPr>
              <w:pStyle w:val="13"/>
              <w:numPr>
                <w:ilvl w:val="0"/>
                <w:numId w:val="7"/>
              </w:numPr>
              <w:tabs>
                <w:tab w:val="left" w:pos="214"/>
              </w:tabs>
              <w:spacing w:line="400" w:lineRule="exact"/>
              <w:ind w:left="550" w:right="-50" w:rightChars="-24" w:hanging="493"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记录问题：问题处理完毕后按照院方要求在相关系统中及时记录问题及其处理过程</w:t>
            </w:r>
            <w:r>
              <w:rPr>
                <w:rFonts w:hint="eastAsia" w:ascii="仿宋" w:hAnsi="仿宋" w:eastAsia="仿宋" w:cs="仿宋"/>
                <w:bCs/>
                <w:color w:val="000000" w:themeColor="text1"/>
                <w:sz w:val="24"/>
                <w:szCs w:val="24"/>
                <w:lang w:eastAsia="zh-CN"/>
                <w14:textFill>
                  <w14:solidFill>
                    <w14:schemeClr w14:val="tx1"/>
                  </w14:solidFill>
                </w14:textFill>
              </w:rPr>
              <w:t>；</w:t>
            </w:r>
          </w:p>
        </w:tc>
      </w:tr>
      <w:tr w14:paraId="7D26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300F0D1C">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4C76C862">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03F22FF2">
            <w:pPr>
              <w:pStyle w:val="13"/>
              <w:numPr>
                <w:ilvl w:val="0"/>
                <w:numId w:val="7"/>
              </w:numPr>
              <w:tabs>
                <w:tab w:val="left" w:pos="214"/>
              </w:tabs>
              <w:spacing w:line="400" w:lineRule="exact"/>
              <w:ind w:left="550" w:right="-50" w:rightChars="-24" w:hanging="493"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问题转出：遇到疑难、设备故障等当时无法解决的问题需要运维人员及时交由相关人员进行跟进处理</w:t>
            </w:r>
            <w:r>
              <w:rPr>
                <w:rFonts w:hint="eastAsia" w:ascii="仿宋" w:hAnsi="仿宋" w:eastAsia="仿宋"/>
                <w:sz w:val="24"/>
                <w:szCs w:val="24"/>
              </w:rPr>
              <w:t>；</w:t>
            </w:r>
          </w:p>
        </w:tc>
      </w:tr>
      <w:tr w14:paraId="72F9E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384C85C9">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6AB536D3">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45052F71">
            <w:pPr>
              <w:pStyle w:val="13"/>
              <w:numPr>
                <w:ilvl w:val="0"/>
                <w:numId w:val="7"/>
              </w:numPr>
              <w:tabs>
                <w:tab w:val="left" w:pos="214"/>
              </w:tabs>
              <w:spacing w:line="400" w:lineRule="exact"/>
              <w:ind w:left="550" w:right="-50" w:rightChars="-24" w:hanging="493" w:firstLineChars="0"/>
              <w:jc w:val="left"/>
              <w:rPr>
                <w:rFonts w:ascii="仿宋" w:hAnsi="仿宋" w:eastAsia="仿宋" w:cs="仿宋_GB2312"/>
                <w:color w:val="000000"/>
                <w:sz w:val="24"/>
                <w:szCs w:val="24"/>
              </w:rPr>
            </w:pPr>
            <w:r>
              <w:rPr>
                <w:rFonts w:hint="eastAsia" w:ascii="仿宋" w:hAnsi="仿宋" w:eastAsia="仿宋" w:cs="仿宋"/>
                <w:bCs/>
                <w:color w:val="000000" w:themeColor="text1"/>
                <w:sz w:val="24"/>
                <w:szCs w:val="24"/>
                <w14:textFill>
                  <w14:solidFill>
                    <w14:schemeClr w14:val="tx1"/>
                  </w14:solidFill>
                </w14:textFill>
              </w:rPr>
              <w:t>问题回访与确认：对所接收的所有问题进行跟踪，确保问题均及时有效地处理完成并获取报修用户认可</w:t>
            </w:r>
            <w:r>
              <w:rPr>
                <w:rFonts w:hint="eastAsia" w:ascii="仿宋" w:hAnsi="仿宋" w:eastAsia="仿宋" w:cs="仿宋"/>
                <w:bCs/>
                <w:color w:val="000000" w:themeColor="text1"/>
                <w:sz w:val="24"/>
                <w:szCs w:val="24"/>
                <w:lang w:eastAsia="zh-CN"/>
                <w14:textFill>
                  <w14:solidFill>
                    <w14:schemeClr w14:val="tx1"/>
                  </w14:solidFill>
                </w14:textFill>
              </w:rPr>
              <w:t>；</w:t>
            </w:r>
          </w:p>
        </w:tc>
      </w:tr>
      <w:tr w14:paraId="50CF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7807F964">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64F76FBB">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03864343">
            <w:pPr>
              <w:pStyle w:val="13"/>
              <w:numPr>
                <w:ilvl w:val="0"/>
                <w:numId w:val="7"/>
              </w:numPr>
              <w:tabs>
                <w:tab w:val="left" w:pos="214"/>
              </w:tabs>
              <w:spacing w:line="400" w:lineRule="exact"/>
              <w:ind w:left="550" w:right="-50" w:rightChars="-24" w:hanging="493" w:firstLineChars="0"/>
              <w:jc w:val="left"/>
              <w:rPr>
                <w:rFonts w:ascii="仿宋" w:hAnsi="仿宋" w:eastAsia="仿宋" w:cs="仿宋_GB2312"/>
                <w:color w:val="000000"/>
                <w:sz w:val="24"/>
                <w:szCs w:val="24"/>
              </w:rPr>
            </w:pPr>
            <w:r>
              <w:rPr>
                <w:rFonts w:hint="eastAsia" w:ascii="仿宋" w:hAnsi="仿宋" w:eastAsia="仿宋" w:cs="仿宋"/>
                <w:bCs/>
                <w:color w:val="000000" w:themeColor="text1"/>
                <w:sz w:val="24"/>
                <w:szCs w:val="24"/>
                <w14:textFill>
                  <w14:solidFill>
                    <w14:schemeClr w14:val="tx1"/>
                  </w14:solidFill>
                </w14:textFill>
              </w:rPr>
              <w:t>编写知识库：将常见问题、标准化问题或其他疑难杂症按照标准格式形成文档记录上传知识库，便于知识沉淀和分享</w:t>
            </w:r>
            <w:r>
              <w:rPr>
                <w:rFonts w:hint="eastAsia" w:ascii="仿宋" w:hAnsi="仿宋" w:eastAsia="仿宋" w:cs="仿宋_GB2312"/>
                <w:color w:val="000000"/>
                <w:sz w:val="24"/>
                <w:szCs w:val="24"/>
              </w:rPr>
              <w:t>；</w:t>
            </w:r>
          </w:p>
        </w:tc>
      </w:tr>
      <w:tr w14:paraId="2E57D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jc w:val="center"/>
        </w:trPr>
        <w:tc>
          <w:tcPr>
            <w:tcW w:w="411" w:type="dxa"/>
            <w:vMerge w:val="continue"/>
            <w:tcBorders>
              <w:left w:val="single" w:color="auto" w:sz="12" w:space="0"/>
              <w:right w:val="single" w:color="auto" w:sz="6" w:space="0"/>
            </w:tcBorders>
            <w:vAlign w:val="center"/>
          </w:tcPr>
          <w:p w14:paraId="31EB9848">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363DD614">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4" w:space="0"/>
              <w:right w:val="single" w:color="auto" w:sz="6" w:space="0"/>
            </w:tcBorders>
            <w:vAlign w:val="center"/>
          </w:tcPr>
          <w:p w14:paraId="7D4A8186">
            <w:pPr>
              <w:pStyle w:val="13"/>
              <w:numPr>
                <w:ilvl w:val="0"/>
                <w:numId w:val="7"/>
              </w:numPr>
              <w:tabs>
                <w:tab w:val="left" w:pos="214"/>
              </w:tabs>
              <w:spacing w:line="400" w:lineRule="exact"/>
              <w:ind w:left="550" w:right="-50" w:rightChars="-24" w:hanging="493" w:firstLineChars="0"/>
              <w:jc w:val="left"/>
              <w:rPr>
                <w:rFonts w:ascii="仿宋" w:hAnsi="仿宋" w:eastAsia="仿宋" w:cs="仿宋_GB2312"/>
                <w:color w:val="000000"/>
                <w:sz w:val="24"/>
                <w:szCs w:val="24"/>
              </w:rPr>
            </w:pPr>
            <w:r>
              <w:rPr>
                <w:rFonts w:hint="eastAsia" w:ascii="仿宋" w:hAnsi="仿宋" w:eastAsia="仿宋" w:cs="仿宋_GB2312"/>
                <w:color w:val="000000"/>
                <w:sz w:val="24"/>
                <w:szCs w:val="24"/>
              </w:rPr>
              <w:t>分析处理问题</w:t>
            </w:r>
            <w:r>
              <w:rPr>
                <w:rFonts w:hint="eastAsia" w:ascii="仿宋" w:hAnsi="仿宋" w:eastAsia="仿宋" w:cs="仿宋_GB2312"/>
                <w:color w:val="000000"/>
                <w:sz w:val="24"/>
                <w:szCs w:val="24"/>
                <w:lang w:eastAsia="zh-CN"/>
              </w:rPr>
              <w:t>：</w:t>
            </w:r>
            <w:r>
              <w:rPr>
                <w:rFonts w:hint="eastAsia" w:ascii="仿宋" w:hAnsi="仿宋" w:eastAsia="仿宋" w:cs="仿宋_GB2312"/>
                <w:color w:val="000000"/>
                <w:sz w:val="24"/>
                <w:szCs w:val="24"/>
              </w:rPr>
              <w:t>运维人员按自身经验和知识，通过查看数据、网络等多种手段分析引起问题的原因；</w:t>
            </w:r>
          </w:p>
        </w:tc>
      </w:tr>
      <w:tr w14:paraId="454E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11" w:type="dxa"/>
            <w:vMerge w:val="continue"/>
            <w:tcBorders>
              <w:left w:val="single" w:color="auto" w:sz="12" w:space="0"/>
              <w:right w:val="single" w:color="auto" w:sz="6" w:space="0"/>
            </w:tcBorders>
            <w:vAlign w:val="center"/>
          </w:tcPr>
          <w:p w14:paraId="7BE1FFB5">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281BCC79">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4" w:space="0"/>
              <w:left w:val="single" w:color="auto" w:sz="6" w:space="0"/>
              <w:bottom w:val="single" w:color="auto" w:sz="6" w:space="0"/>
              <w:right w:val="single" w:color="auto" w:sz="6" w:space="0"/>
            </w:tcBorders>
            <w:vAlign w:val="center"/>
          </w:tcPr>
          <w:p w14:paraId="4D801267">
            <w:pPr>
              <w:pStyle w:val="13"/>
              <w:numPr>
                <w:ilvl w:val="0"/>
                <w:numId w:val="7"/>
              </w:numPr>
              <w:tabs>
                <w:tab w:val="left" w:pos="214"/>
              </w:tabs>
              <w:spacing w:line="400" w:lineRule="exact"/>
              <w:ind w:left="550" w:right="-50" w:rightChars="-24" w:hanging="493" w:firstLineChars="0"/>
              <w:jc w:val="left"/>
              <w:rPr>
                <w:rFonts w:ascii="仿宋" w:hAnsi="仿宋" w:eastAsia="仿宋" w:cs="仿宋_GB2312"/>
                <w:color w:val="000000"/>
                <w:sz w:val="24"/>
                <w:szCs w:val="24"/>
              </w:rPr>
            </w:pPr>
            <w:r>
              <w:rPr>
                <w:rFonts w:hint="eastAsia" w:ascii="仿宋" w:hAnsi="仿宋" w:eastAsia="仿宋" w:cs="仿宋_GB2312"/>
                <w:color w:val="000000"/>
                <w:sz w:val="24"/>
                <w:szCs w:val="24"/>
              </w:rPr>
              <w:t>出具解决方案</w:t>
            </w:r>
            <w:r>
              <w:rPr>
                <w:rFonts w:hint="eastAsia" w:ascii="仿宋" w:hAnsi="仿宋" w:eastAsia="仿宋" w:cs="仿宋_GB2312"/>
                <w:color w:val="000000"/>
                <w:sz w:val="24"/>
                <w:szCs w:val="24"/>
                <w:lang w:eastAsia="zh-CN"/>
              </w:rPr>
              <w:t>：</w:t>
            </w:r>
            <w:r>
              <w:rPr>
                <w:rFonts w:hint="eastAsia" w:ascii="仿宋" w:hAnsi="仿宋" w:eastAsia="仿宋" w:cs="仿宋_GB2312"/>
                <w:color w:val="000000"/>
                <w:sz w:val="24"/>
                <w:szCs w:val="24"/>
              </w:rPr>
              <w:t>根据分析得出的原因，在充分理解用户的实际要求，同时经过充分的测试验证后给出用户合理可行的解决</w:t>
            </w:r>
            <w:r>
              <w:rPr>
                <w:rFonts w:hint="eastAsia" w:ascii="仿宋" w:hAnsi="仿宋" w:eastAsia="仿宋" w:cs="仿宋_GB2312"/>
                <w:color w:val="000000"/>
                <w:sz w:val="24"/>
                <w:szCs w:val="24"/>
                <w:lang w:eastAsia="zh-CN"/>
              </w:rPr>
              <w:t>方案</w:t>
            </w:r>
            <w:r>
              <w:rPr>
                <w:rFonts w:hint="eastAsia" w:ascii="仿宋" w:hAnsi="仿宋" w:eastAsia="仿宋" w:cs="仿宋_GB2312"/>
                <w:color w:val="000000"/>
                <w:sz w:val="24"/>
                <w:szCs w:val="24"/>
              </w:rPr>
              <w:t>；</w:t>
            </w:r>
          </w:p>
        </w:tc>
      </w:tr>
      <w:tr w14:paraId="4A50F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7A5F0FEA">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2BF283FD">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11BE3DAE">
            <w:pPr>
              <w:pStyle w:val="13"/>
              <w:numPr>
                <w:ilvl w:val="0"/>
                <w:numId w:val="7"/>
              </w:numPr>
              <w:tabs>
                <w:tab w:val="left" w:pos="214"/>
              </w:tabs>
              <w:spacing w:line="400" w:lineRule="exact"/>
              <w:ind w:left="550" w:right="-50" w:rightChars="-24" w:hanging="493" w:firstLineChars="0"/>
              <w:jc w:val="left"/>
              <w:rPr>
                <w:rFonts w:ascii="仿宋" w:hAnsi="仿宋" w:eastAsia="仿宋" w:cs="仿宋_GB2312"/>
                <w:color w:val="000000"/>
                <w:sz w:val="24"/>
                <w:szCs w:val="24"/>
              </w:rPr>
            </w:pPr>
            <w:r>
              <w:rPr>
                <w:rFonts w:hint="eastAsia" w:ascii="仿宋" w:hAnsi="仿宋" w:eastAsia="仿宋" w:cs="仿宋_GB2312"/>
                <w:color w:val="000000"/>
                <w:sz w:val="24"/>
                <w:szCs w:val="24"/>
              </w:rPr>
              <w:t>最终完成处理记录</w:t>
            </w:r>
            <w:r>
              <w:rPr>
                <w:rFonts w:hint="eastAsia" w:ascii="仿宋" w:hAnsi="仿宋" w:eastAsia="仿宋" w:cs="仿宋_GB2312"/>
                <w:color w:val="000000"/>
                <w:sz w:val="24"/>
                <w:szCs w:val="24"/>
                <w:lang w:eastAsia="zh-CN"/>
              </w:rPr>
              <w:t>：</w:t>
            </w:r>
            <w:r>
              <w:rPr>
                <w:rFonts w:hint="eastAsia" w:ascii="仿宋" w:hAnsi="仿宋" w:eastAsia="仿宋" w:cs="仿宋_GB2312"/>
                <w:color w:val="000000"/>
                <w:sz w:val="24"/>
                <w:szCs w:val="24"/>
              </w:rPr>
              <w:t>按医院要求完善问题处理记录。</w:t>
            </w:r>
          </w:p>
        </w:tc>
      </w:tr>
      <w:tr w14:paraId="7AA9D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dxa"/>
            <w:vMerge w:val="restart"/>
            <w:tcBorders>
              <w:top w:val="single" w:color="auto" w:sz="12" w:space="0"/>
              <w:left w:val="single" w:color="auto" w:sz="12" w:space="0"/>
              <w:right w:val="single" w:color="auto" w:sz="6" w:space="0"/>
            </w:tcBorders>
            <w:vAlign w:val="center"/>
          </w:tcPr>
          <w:p w14:paraId="0C07DD35">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restart"/>
            <w:tcBorders>
              <w:top w:val="single" w:color="auto" w:sz="12" w:space="0"/>
              <w:left w:val="single" w:color="auto" w:sz="6" w:space="0"/>
              <w:right w:val="single" w:color="auto" w:sz="6" w:space="0"/>
            </w:tcBorders>
            <w:vAlign w:val="center"/>
          </w:tcPr>
          <w:p w14:paraId="24BDF201">
            <w:pPr>
              <w:spacing w:line="400" w:lineRule="exact"/>
              <w:ind w:left="-57" w:leftChars="-27" w:right="-78" w:rightChars="-37"/>
              <w:jc w:val="center"/>
              <w:rPr>
                <w:rFonts w:ascii="仿宋" w:hAnsi="仿宋" w:eastAsia="仿宋"/>
                <w:bCs/>
                <w:color w:val="000000"/>
                <w:sz w:val="24"/>
                <w:szCs w:val="24"/>
              </w:rPr>
            </w:pPr>
            <w:r>
              <w:rPr>
                <w:rFonts w:hint="eastAsia" w:ascii="仿宋" w:hAnsi="仿宋" w:eastAsia="仿宋"/>
                <w:bCs/>
                <w:color w:val="000000"/>
                <w:sz w:val="24"/>
                <w:szCs w:val="24"/>
              </w:rPr>
              <w:t>综合运维保障服务</w:t>
            </w:r>
          </w:p>
        </w:tc>
        <w:tc>
          <w:tcPr>
            <w:tcW w:w="7815" w:type="dxa"/>
            <w:tcBorders>
              <w:top w:val="single" w:color="auto" w:sz="12" w:space="0"/>
              <w:left w:val="single" w:color="auto" w:sz="6" w:space="0"/>
              <w:right w:val="single" w:color="auto" w:sz="6" w:space="0"/>
            </w:tcBorders>
            <w:vAlign w:val="center"/>
          </w:tcPr>
          <w:p w14:paraId="25F9C93C">
            <w:pPr>
              <w:pStyle w:val="13"/>
              <w:numPr>
                <w:ilvl w:val="0"/>
                <w:numId w:val="8"/>
              </w:numPr>
              <w:tabs>
                <w:tab w:val="left" w:pos="214"/>
              </w:tabs>
              <w:spacing w:line="400" w:lineRule="exact"/>
              <w:ind w:right="-50" w:rightChars="-24" w:firstLineChars="0"/>
              <w:jc w:val="left"/>
              <w:rPr>
                <w:rFonts w:ascii="仿宋" w:hAnsi="仿宋" w:eastAsia="仿宋" w:cs="仿宋_GB2312"/>
                <w:color w:val="000000"/>
                <w:sz w:val="24"/>
                <w:szCs w:val="24"/>
              </w:rPr>
            </w:pPr>
            <w:r>
              <w:rPr>
                <w:rFonts w:hint="eastAsia" w:ascii="仿宋" w:hAnsi="仿宋" w:eastAsia="仿宋"/>
                <w:sz w:val="24"/>
                <w:szCs w:val="24"/>
              </w:rPr>
              <w:t>针对应急指挥中心平台提供人工监测预警及指挥调度服务，实时监测各类异常情况（如设备故障、安全隐患等），并记录日志；发现异常后，5分钟内通过电话或对讲机上报，每半小时更新处理进度直至问题解决</w:t>
            </w:r>
            <w:r>
              <w:rPr>
                <w:rFonts w:ascii="仿宋" w:hAnsi="仿宋" w:eastAsia="仿宋"/>
                <w:sz w:val="24"/>
                <w:szCs w:val="24"/>
              </w:rPr>
              <w:t>；</w:t>
            </w:r>
          </w:p>
        </w:tc>
      </w:tr>
      <w:tr w14:paraId="6F93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60BBD3CF">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20B9957A">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0AA824AB">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ascii="仿宋" w:hAnsi="仿宋" w:eastAsia="仿宋"/>
                <w:sz w:val="24"/>
                <w:szCs w:val="24"/>
              </w:rPr>
              <w:t>在服务期内为用户提供基于</w:t>
            </w:r>
            <w:r>
              <w:rPr>
                <w:rFonts w:hint="eastAsia" w:ascii="仿宋" w:hAnsi="仿宋" w:eastAsia="仿宋"/>
                <w:sz w:val="24"/>
                <w:szCs w:val="24"/>
              </w:rPr>
              <w:t>应急指挥中心</w:t>
            </w:r>
            <w:r>
              <w:rPr>
                <w:rFonts w:ascii="仿宋" w:hAnsi="仿宋" w:eastAsia="仿宋"/>
                <w:sz w:val="24"/>
                <w:szCs w:val="24"/>
              </w:rPr>
              <w:t>平台全模块的技术支持，包括：故障处理，Bug修复，系统性能巡检等服务</w:t>
            </w:r>
            <w:r>
              <w:rPr>
                <w:rFonts w:hint="eastAsia" w:ascii="仿宋" w:hAnsi="仿宋" w:eastAsia="仿宋"/>
                <w:sz w:val="24"/>
                <w:szCs w:val="24"/>
              </w:rPr>
              <w:t>；</w:t>
            </w:r>
          </w:p>
        </w:tc>
      </w:tr>
      <w:tr w14:paraId="1D4A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042B3392">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08661107">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4EA7FABB">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会议前设备调试：确保所有会议设备（如投影仪、音响系统、视频会议设备等）正常运行，进行必要的测试和调整，并对核心会议设备进行全面检查，包括音视频系统、灯光系统、网络系统等，确保设备处于最佳状态；</w:t>
            </w:r>
          </w:p>
        </w:tc>
      </w:tr>
      <w:tr w14:paraId="2061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55BB08CA">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034D19CF">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3FE3C74E">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会议中现场保障：在会议过程中，确保设备的稳定运行，及时处理可能出现的设备故障或技术问题，保障会议的顺利进行。会中服务需要实时监控设备运行状态，快速响应突发情况，确保会议质量不受影响；</w:t>
            </w:r>
          </w:p>
        </w:tc>
      </w:tr>
      <w:tr w14:paraId="7172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663BB100">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1B023F0B">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40394E01">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会议后设备清洁归位：会议结束后，对设备进行清洁，并将其关闭后归位到指定位置，确保设备的完好和整洁为下一次会议做好准备；</w:t>
            </w:r>
          </w:p>
        </w:tc>
      </w:tr>
      <w:tr w14:paraId="49BF5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4C0E274B">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5606417C">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490B18B3">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日常会议设备巡检：定期对会议设备进行检查和维护，确保设备的正常运行和使用寿命，如发现异常应立即联系负责人进行现场及时处置；</w:t>
            </w:r>
          </w:p>
        </w:tc>
      </w:tr>
      <w:tr w14:paraId="2CE9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4DAD3468">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08C061B6">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5771341F">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会场布置和环境设置：根据会议需求，布置会场，包括桌椅摆放、灯光调整、温度控制等，营造舒适的会议环境；</w:t>
            </w:r>
          </w:p>
        </w:tc>
      </w:tr>
      <w:tr w14:paraId="53647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0F5AFBD4">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307BB5E1">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14FD459E">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bCs/>
                <w:color w:val="000000" w:themeColor="text1"/>
                <w:sz w:val="24"/>
                <w:szCs w:val="24"/>
                <w14:textFill>
                  <w14:solidFill>
                    <w14:schemeClr w14:val="tx1"/>
                  </w14:solidFill>
                </w14:textFill>
              </w:rPr>
              <w:t>参观接待服务：接待人员需按要求统一着装，言行符合商务礼仪标准并提供标准化讲解和内容展示；</w:t>
            </w:r>
          </w:p>
        </w:tc>
      </w:tr>
      <w:tr w14:paraId="1C02E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518817FE">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6D0D4569">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312CBAB1">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color w:val="000000"/>
                <w:sz w:val="24"/>
                <w:szCs w:val="24"/>
              </w:rPr>
              <w:t>轮班备岗：在驻场工程师因意外情况无法到岗的情况下，（如：休假，请假等），安排二线团队备岗，保证业务不中断；</w:t>
            </w:r>
          </w:p>
        </w:tc>
      </w:tr>
      <w:tr w14:paraId="17EC0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358C3DB8">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602897A1">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104DE8E3">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sz w:val="24"/>
                <w:szCs w:val="24"/>
              </w:rPr>
              <w:t>紧急支持：二线团队</w:t>
            </w:r>
            <w:r>
              <w:rPr>
                <w:rFonts w:hint="eastAsia" w:ascii="仿宋" w:hAnsi="仿宋" w:eastAsia="仿宋" w:cs="仿宋"/>
                <w:color w:val="000000"/>
                <w:sz w:val="24"/>
                <w:szCs w:val="24"/>
              </w:rPr>
              <w:t>主要负责现场发生突发状况，导致现场问题增多，及时增援现场，保证服务响应率，保障服务质量，确保应急指挥中心有效</w:t>
            </w:r>
            <w:r>
              <w:rPr>
                <w:rFonts w:hint="eastAsia" w:ascii="仿宋" w:hAnsi="仿宋" w:eastAsia="仿宋" w:cs="仿宋"/>
                <w:color w:val="000000"/>
                <w:sz w:val="24"/>
                <w:szCs w:val="24"/>
                <w:lang w:eastAsia="zh-CN"/>
              </w:rPr>
              <w:t>地</w:t>
            </w:r>
            <w:r>
              <w:rPr>
                <w:rFonts w:hint="eastAsia" w:ascii="仿宋" w:hAnsi="仿宋" w:eastAsia="仿宋" w:cs="仿宋"/>
                <w:color w:val="000000"/>
                <w:sz w:val="24"/>
                <w:szCs w:val="24"/>
              </w:rPr>
              <w:t>运维；</w:t>
            </w:r>
          </w:p>
        </w:tc>
      </w:tr>
      <w:tr w14:paraId="416E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411" w:type="dxa"/>
            <w:vMerge w:val="continue"/>
            <w:tcBorders>
              <w:left w:val="single" w:color="auto" w:sz="12" w:space="0"/>
              <w:right w:val="single" w:color="auto" w:sz="6" w:space="0"/>
            </w:tcBorders>
            <w:vAlign w:val="center"/>
          </w:tcPr>
          <w:p w14:paraId="54E6054A">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continue"/>
            <w:tcBorders>
              <w:left w:val="single" w:color="auto" w:sz="6" w:space="0"/>
              <w:right w:val="single" w:color="auto" w:sz="6" w:space="0"/>
            </w:tcBorders>
            <w:vAlign w:val="center"/>
          </w:tcPr>
          <w:p w14:paraId="1765CB2A">
            <w:pPr>
              <w:spacing w:line="400" w:lineRule="exact"/>
              <w:ind w:left="-57" w:leftChars="-27" w:right="-78" w:rightChars="-37"/>
              <w:jc w:val="center"/>
              <w:rPr>
                <w:rFonts w:ascii="仿宋" w:hAnsi="仿宋" w:eastAsia="仿宋"/>
                <w:b/>
                <w:color w:val="000000"/>
                <w:sz w:val="24"/>
                <w:szCs w:val="24"/>
              </w:rPr>
            </w:pPr>
          </w:p>
        </w:tc>
        <w:tc>
          <w:tcPr>
            <w:tcW w:w="7815" w:type="dxa"/>
            <w:tcBorders>
              <w:top w:val="single" w:color="auto" w:sz="6" w:space="0"/>
              <w:left w:val="single" w:color="auto" w:sz="6" w:space="0"/>
              <w:bottom w:val="single" w:color="auto" w:sz="6" w:space="0"/>
              <w:right w:val="single" w:color="auto" w:sz="6" w:space="0"/>
            </w:tcBorders>
            <w:vAlign w:val="center"/>
          </w:tcPr>
          <w:p w14:paraId="372FD796">
            <w:pPr>
              <w:pStyle w:val="13"/>
              <w:numPr>
                <w:ilvl w:val="0"/>
                <w:numId w:val="8"/>
              </w:numPr>
              <w:tabs>
                <w:tab w:val="left" w:pos="214"/>
              </w:tabs>
              <w:spacing w:line="400" w:lineRule="exact"/>
              <w:ind w:right="-50" w:rightChars="-24" w:firstLineChars="0"/>
              <w:jc w:val="left"/>
              <w:rPr>
                <w:rFonts w:ascii="仿宋" w:hAnsi="仿宋" w:eastAsia="仿宋"/>
                <w:sz w:val="24"/>
                <w:szCs w:val="24"/>
              </w:rPr>
            </w:pPr>
            <w:r>
              <w:rPr>
                <w:rFonts w:hint="eastAsia" w:ascii="仿宋" w:hAnsi="仿宋" w:eastAsia="仿宋" w:cs="仿宋"/>
                <w:color w:val="000000"/>
                <w:sz w:val="24"/>
                <w:szCs w:val="24"/>
              </w:rPr>
              <w:t>质量管理：每日提供应急指挥中心平台服务日报、每月组织服务总结例会提供月报/半年/全年服务报告。并且建立问题管理制度。</w:t>
            </w:r>
          </w:p>
        </w:tc>
      </w:tr>
      <w:tr w14:paraId="357E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411" w:type="dxa"/>
            <w:vMerge w:val="restart"/>
            <w:tcBorders>
              <w:left w:val="single" w:color="auto" w:sz="12" w:space="0"/>
              <w:right w:val="single" w:color="auto" w:sz="6" w:space="0"/>
            </w:tcBorders>
            <w:vAlign w:val="center"/>
          </w:tcPr>
          <w:p w14:paraId="209345FF">
            <w:pPr>
              <w:numPr>
                <w:ilvl w:val="0"/>
                <w:numId w:val="6"/>
              </w:numPr>
              <w:tabs>
                <w:tab w:val="left" w:pos="72"/>
              </w:tabs>
              <w:spacing w:line="400" w:lineRule="exact"/>
              <w:ind w:left="0" w:firstLine="0"/>
              <w:jc w:val="center"/>
              <w:rPr>
                <w:rFonts w:ascii="仿宋" w:hAnsi="仿宋" w:eastAsia="仿宋"/>
                <w:color w:val="000000"/>
                <w:sz w:val="24"/>
                <w:szCs w:val="24"/>
              </w:rPr>
            </w:pPr>
          </w:p>
        </w:tc>
        <w:tc>
          <w:tcPr>
            <w:tcW w:w="1275" w:type="dxa"/>
            <w:vMerge w:val="restart"/>
            <w:tcBorders>
              <w:left w:val="single" w:color="auto" w:sz="6" w:space="0"/>
              <w:right w:val="single" w:color="auto" w:sz="6" w:space="0"/>
            </w:tcBorders>
            <w:vAlign w:val="center"/>
          </w:tcPr>
          <w:p w14:paraId="4CF0FD23">
            <w:pPr>
              <w:spacing w:line="400" w:lineRule="exact"/>
              <w:ind w:left="-57" w:leftChars="-27" w:right="-78" w:rightChars="-37"/>
              <w:jc w:val="center"/>
              <w:rPr>
                <w:rFonts w:ascii="仿宋" w:hAnsi="仿宋" w:eastAsia="仿宋"/>
                <w:b/>
                <w:color w:val="000000"/>
                <w:sz w:val="24"/>
                <w:szCs w:val="24"/>
              </w:rPr>
            </w:pPr>
            <w:r>
              <w:rPr>
                <w:rFonts w:hint="eastAsia" w:ascii="仿宋" w:hAnsi="仿宋" w:eastAsia="仿宋"/>
                <w:color w:val="000000"/>
                <w:sz w:val="24"/>
                <w:szCs w:val="24"/>
              </w:rPr>
              <w:t>平台功能优化服务</w:t>
            </w:r>
          </w:p>
        </w:tc>
        <w:tc>
          <w:tcPr>
            <w:tcW w:w="7815" w:type="dxa"/>
            <w:tcBorders>
              <w:top w:val="single" w:color="auto" w:sz="4" w:space="0"/>
              <w:left w:val="single" w:color="auto" w:sz="6" w:space="0"/>
              <w:bottom w:val="single" w:color="auto" w:sz="4" w:space="0"/>
              <w:right w:val="single" w:color="auto" w:sz="6" w:space="0"/>
            </w:tcBorders>
            <w:vAlign w:val="center"/>
          </w:tcPr>
          <w:p w14:paraId="5EB9967E">
            <w:pPr>
              <w:pStyle w:val="13"/>
              <w:numPr>
                <w:ilvl w:val="0"/>
                <w:numId w:val="9"/>
              </w:numPr>
              <w:tabs>
                <w:tab w:val="left" w:pos="214"/>
                <w:tab w:val="left" w:pos="676"/>
              </w:tabs>
              <w:spacing w:line="400" w:lineRule="exact"/>
              <w:ind w:right="-50" w:rightChars="-24" w:firstLineChars="0"/>
              <w:jc w:val="left"/>
              <w:rPr>
                <w:rFonts w:ascii="仿宋" w:hAnsi="仿宋" w:eastAsia="仿宋"/>
                <w:sz w:val="24"/>
                <w:szCs w:val="24"/>
              </w:rPr>
            </w:pPr>
            <w:r>
              <w:rPr>
                <w:rFonts w:hint="eastAsia" w:ascii="仿宋" w:hAnsi="仿宋" w:eastAsia="仿宋"/>
                <w:sz w:val="24"/>
                <w:szCs w:val="24"/>
              </w:rPr>
              <w:t>通讯录大屏：</w:t>
            </w:r>
            <w:r>
              <w:rPr>
                <w:rFonts w:hint="eastAsia" w:ascii="仿宋" w:hAnsi="仿宋" w:eastAsia="仿宋" w:cs="仿宋"/>
                <w:bCs/>
                <w:color w:val="000000" w:themeColor="text1"/>
                <w:sz w:val="24"/>
                <w:szCs w:val="24"/>
                <w14:textFill>
                  <w14:solidFill>
                    <w14:schemeClr w14:val="tx1"/>
                  </w14:solidFill>
                </w14:textFill>
              </w:rPr>
              <w:t>此功能应基于现有应急指挥中心平台优化，定位为应急调度场景下的快速通讯信息支持工具。当指挥中心接到应急任务、需要跨科室调度人力时，系统应能在数秒内定位目标人员或科室的联系方式、楼层位置，支持快速拨号和信息对接，提升应急响应效率，核心机制包括</w:t>
            </w:r>
            <w:r>
              <w:rPr>
                <w:rFonts w:hint="eastAsia" w:ascii="仿宋" w:hAnsi="仿宋" w:eastAsia="仿宋"/>
                <w:bCs/>
                <w:color w:val="000000" w:themeColor="text1"/>
                <w:sz w:val="24"/>
                <w:szCs w:val="24"/>
                <w14:textFill>
                  <w14:solidFill>
                    <w14:schemeClr w14:val="tx1"/>
                  </w14:solidFill>
                </w14:textFill>
              </w:rPr>
              <w:t>：</w:t>
            </w:r>
          </w:p>
          <w:p w14:paraId="4194E9B3">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楼层化通讯录展示：建筑楼宇→楼层→科室→人员的层级结构展示，应急指挥人员可直观了解各楼层的科室分布和人员构成；</w:t>
            </w:r>
          </w:p>
          <w:p w14:paraId="2E1A1AEF">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模糊检索与智能查询：输入科室名称或人员姓名，可在楼层视图上同步高亮显示目标人员所在楼层和科室位置，实现“检索即定位”；</w:t>
            </w:r>
          </w:p>
          <w:p w14:paraId="5BCF6C35">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通讯录数据动态管理：管理人员可通过后台管理界面实时维护通讯录数据，支持添加、更新联系方式、删除等操作，并支持接口调用；</w:t>
            </w:r>
          </w:p>
          <w:p w14:paraId="51557201">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与医院门户系统的集成：通过CAS（Central Authentication Service）或OAuth 2.0协议实现单点登录，用户完成一次医院门户系统的身份认证后即可免密访问本系统；</w:t>
            </w:r>
          </w:p>
          <w:p w14:paraId="542BF5B7">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浏览器兼容性保障：系统需同时适配IE</w:t>
            </w:r>
            <w:r>
              <w:rPr>
                <w:rFonts w:ascii="仿宋" w:hAnsi="仿宋" w:eastAsia="仿宋"/>
                <w:sz w:val="24"/>
                <w:szCs w:val="24"/>
              </w:rPr>
              <w:t>8+</w:t>
            </w:r>
            <w:r>
              <w:rPr>
                <w:rFonts w:hint="eastAsia" w:ascii="仿宋" w:hAnsi="仿宋" w:eastAsia="仿宋"/>
                <w:sz w:val="24"/>
                <w:szCs w:val="24"/>
              </w:rPr>
              <w:t>和Chrome浏览器。</w:t>
            </w:r>
          </w:p>
        </w:tc>
      </w:tr>
      <w:tr w14:paraId="08A4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411" w:type="dxa"/>
            <w:vMerge w:val="continue"/>
            <w:tcBorders>
              <w:left w:val="single" w:color="auto" w:sz="12" w:space="0"/>
              <w:right w:val="single" w:color="auto" w:sz="6" w:space="0"/>
            </w:tcBorders>
            <w:vAlign w:val="center"/>
          </w:tcPr>
          <w:p w14:paraId="490440A4">
            <w:pPr>
              <w:numPr>
                <w:ilvl w:val="0"/>
                <w:numId w:val="6"/>
              </w:numPr>
              <w:tabs>
                <w:tab w:val="left" w:pos="72"/>
              </w:tabs>
              <w:spacing w:line="400" w:lineRule="exact"/>
              <w:ind w:left="0" w:firstLine="0"/>
              <w:jc w:val="center"/>
              <w:rPr>
                <w:rFonts w:ascii="仿宋" w:hAnsi="仿宋" w:eastAsia="仿宋"/>
                <w:color w:val="000000"/>
                <w:szCs w:val="21"/>
              </w:rPr>
            </w:pPr>
          </w:p>
        </w:tc>
        <w:tc>
          <w:tcPr>
            <w:tcW w:w="1275" w:type="dxa"/>
            <w:vMerge w:val="continue"/>
            <w:tcBorders>
              <w:left w:val="single" w:color="auto" w:sz="6" w:space="0"/>
              <w:right w:val="single" w:color="auto" w:sz="6" w:space="0"/>
            </w:tcBorders>
            <w:vAlign w:val="center"/>
          </w:tcPr>
          <w:p w14:paraId="4330B356">
            <w:pPr>
              <w:spacing w:line="400" w:lineRule="exact"/>
              <w:ind w:left="-57" w:leftChars="-27" w:right="-78" w:rightChars="-37"/>
              <w:jc w:val="center"/>
              <w:rPr>
                <w:rFonts w:ascii="仿宋" w:hAnsi="仿宋" w:eastAsia="仿宋"/>
                <w:b/>
                <w:color w:val="000000"/>
                <w:szCs w:val="21"/>
              </w:rPr>
            </w:pPr>
          </w:p>
        </w:tc>
        <w:tc>
          <w:tcPr>
            <w:tcW w:w="7815" w:type="dxa"/>
            <w:tcBorders>
              <w:top w:val="single" w:color="auto" w:sz="4" w:space="0"/>
              <w:left w:val="single" w:color="auto" w:sz="6" w:space="0"/>
              <w:bottom w:val="single" w:color="auto" w:sz="4" w:space="0"/>
              <w:right w:val="single" w:color="auto" w:sz="6" w:space="0"/>
            </w:tcBorders>
            <w:vAlign w:val="center"/>
          </w:tcPr>
          <w:p w14:paraId="6EDB3F35">
            <w:pPr>
              <w:pStyle w:val="13"/>
              <w:numPr>
                <w:ilvl w:val="0"/>
                <w:numId w:val="9"/>
              </w:numPr>
              <w:tabs>
                <w:tab w:val="left" w:pos="214"/>
                <w:tab w:val="left" w:pos="676"/>
              </w:tabs>
              <w:spacing w:line="400" w:lineRule="exact"/>
              <w:ind w:right="-50" w:rightChars="-24" w:firstLineChars="0"/>
              <w:jc w:val="left"/>
              <w:rPr>
                <w:rFonts w:ascii="仿宋" w:hAnsi="仿宋" w:eastAsia="仿宋"/>
                <w:sz w:val="24"/>
                <w:szCs w:val="24"/>
              </w:rPr>
            </w:pPr>
            <w:r>
              <w:rPr>
                <w:rFonts w:hint="eastAsia" w:ascii="仿宋" w:hAnsi="仿宋" w:eastAsia="仿宋"/>
                <w:sz w:val="24"/>
                <w:szCs w:val="24"/>
              </w:rPr>
              <w:t>值班值守系统：本值班值守系统作为医院应急指挥中心平台的有机组成部分，主要用于解决“24小时×365天”全天候通讯联络问题。系统以“排班驱动、自动转接、全程录音、闭环管理”为核心设计理念，实现以下机制：</w:t>
            </w:r>
          </w:p>
          <w:p w14:paraId="64371020">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值班班次配置：可以对班次进行配置，例如值班名次、类型、班次日期、值班天数、每次人数等；</w:t>
            </w:r>
          </w:p>
          <w:p w14:paraId="1229F077">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智能排班管理：对当月的排班根据排班情况进行分配，并生成排班表。该功能支持基于规则的全自动生成和拖拉拽方式生成；</w:t>
            </w:r>
          </w:p>
          <w:p w14:paraId="54CCBBA6">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值班日志：可以根据值班情况，记录值班和交班的日志信息；</w:t>
            </w:r>
          </w:p>
          <w:p w14:paraId="783F9A39">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短信通知：当月值班人员，可以在排班管理中进行批量短信通知，并在人员值班前一天系统自动发送短信提醒；</w:t>
            </w:r>
          </w:p>
          <w:p w14:paraId="3E5CC954">
            <w:pPr>
              <w:pStyle w:val="13"/>
              <w:numPr>
                <w:ilvl w:val="0"/>
                <w:numId w:val="10"/>
              </w:numPr>
              <w:tabs>
                <w:tab w:val="left" w:pos="214"/>
                <w:tab w:val="left" w:pos="676"/>
              </w:tabs>
              <w:spacing w:line="400" w:lineRule="exact"/>
              <w:ind w:left="604" w:right="-50" w:rightChars="-24" w:firstLineChars="0"/>
              <w:jc w:val="left"/>
              <w:rPr>
                <w:rFonts w:hint="eastAsia" w:ascii="仿宋" w:hAnsi="仿宋" w:eastAsia="仿宋"/>
                <w:sz w:val="24"/>
                <w:szCs w:val="24"/>
              </w:rPr>
            </w:pPr>
            <w:r>
              <w:rPr>
                <w:rFonts w:hint="eastAsia" w:ascii="仿宋" w:hAnsi="仿宋" w:eastAsia="仿宋"/>
                <w:sz w:val="24"/>
                <w:szCs w:val="24"/>
              </w:rPr>
              <w:t>自动转接执行：来电呼入应急指挥中心热线时，系统自动识别来电意图，随即查询当前时段对应的值班人员清单，通过融合通信网关将话路自动转接至值班人员的个人手机并全程录音留痕。</w:t>
            </w:r>
          </w:p>
        </w:tc>
      </w:tr>
      <w:tr w14:paraId="20793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411" w:type="dxa"/>
            <w:vMerge w:val="continue"/>
            <w:tcBorders>
              <w:left w:val="single" w:color="auto" w:sz="12" w:space="0"/>
              <w:right w:val="single" w:color="auto" w:sz="6" w:space="0"/>
            </w:tcBorders>
            <w:vAlign w:val="center"/>
          </w:tcPr>
          <w:p w14:paraId="2559F6B6">
            <w:pPr>
              <w:numPr>
                <w:ilvl w:val="0"/>
                <w:numId w:val="6"/>
              </w:numPr>
              <w:tabs>
                <w:tab w:val="left" w:pos="72"/>
              </w:tabs>
              <w:spacing w:line="400" w:lineRule="exact"/>
              <w:ind w:left="0" w:firstLine="0"/>
              <w:jc w:val="center"/>
              <w:rPr>
                <w:rFonts w:ascii="仿宋" w:hAnsi="仿宋" w:eastAsia="仿宋"/>
                <w:color w:val="000000"/>
                <w:szCs w:val="21"/>
              </w:rPr>
            </w:pPr>
          </w:p>
        </w:tc>
        <w:tc>
          <w:tcPr>
            <w:tcW w:w="1275" w:type="dxa"/>
            <w:vMerge w:val="continue"/>
            <w:tcBorders>
              <w:left w:val="single" w:color="auto" w:sz="6" w:space="0"/>
              <w:right w:val="single" w:color="auto" w:sz="6" w:space="0"/>
            </w:tcBorders>
            <w:vAlign w:val="center"/>
          </w:tcPr>
          <w:p w14:paraId="075A6635">
            <w:pPr>
              <w:spacing w:line="400" w:lineRule="exact"/>
              <w:ind w:left="-57" w:leftChars="-27" w:right="-78" w:rightChars="-37"/>
              <w:jc w:val="center"/>
              <w:rPr>
                <w:rFonts w:ascii="仿宋" w:hAnsi="仿宋" w:eastAsia="仿宋"/>
                <w:b/>
                <w:color w:val="000000"/>
                <w:szCs w:val="21"/>
              </w:rPr>
            </w:pPr>
          </w:p>
        </w:tc>
        <w:tc>
          <w:tcPr>
            <w:tcW w:w="7815" w:type="dxa"/>
            <w:tcBorders>
              <w:top w:val="single" w:color="auto" w:sz="4" w:space="0"/>
              <w:left w:val="single" w:color="auto" w:sz="6" w:space="0"/>
              <w:bottom w:val="single" w:color="auto" w:sz="4" w:space="0"/>
              <w:right w:val="single" w:color="auto" w:sz="6" w:space="0"/>
            </w:tcBorders>
            <w:vAlign w:val="center"/>
          </w:tcPr>
          <w:p w14:paraId="3C67673E">
            <w:pPr>
              <w:pStyle w:val="13"/>
              <w:numPr>
                <w:ilvl w:val="0"/>
                <w:numId w:val="9"/>
              </w:numPr>
              <w:tabs>
                <w:tab w:val="left" w:pos="214"/>
                <w:tab w:val="left" w:pos="676"/>
              </w:tabs>
              <w:spacing w:line="400" w:lineRule="exact"/>
              <w:ind w:right="-50" w:rightChars="-24" w:firstLineChars="0"/>
              <w:jc w:val="left"/>
              <w:rPr>
                <w:rFonts w:ascii="仿宋" w:hAnsi="仿宋" w:eastAsia="仿宋"/>
                <w:sz w:val="24"/>
                <w:szCs w:val="24"/>
              </w:rPr>
            </w:pPr>
            <w:r>
              <w:rPr>
                <w:rFonts w:hint="eastAsia" w:ascii="仿宋" w:hAnsi="仿宋" w:eastAsia="仿宋"/>
                <w:sz w:val="24"/>
                <w:szCs w:val="24"/>
              </w:rPr>
              <w:t>督办督查系统：医院应急指挥中心平台在日常运作和突发事件处置中，不仅需要快速调度人员，更需要保障院领导交办的重大任务“事事有回音、件件有着落”。督办督查系统定位为应急指挥场景下的任务全流程管控工具，实现院领导交办重大事项从“指令下达→执行→跟踪→反馈→批示”的全流程数字化闭环管理，核心机制包括：</w:t>
            </w:r>
          </w:p>
          <w:p w14:paraId="22FC9276">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督办任务发布：</w:t>
            </w:r>
            <w:r>
              <w:rPr>
                <w:rFonts w:ascii="仿宋" w:hAnsi="仿宋" w:eastAsia="仿宋"/>
                <w:sz w:val="24"/>
                <w:szCs w:val="24"/>
              </w:rPr>
              <w:t>院级主管部门（如院办、督查办）可通过系统发布面向全院或定向科室的督办任务</w:t>
            </w:r>
            <w:r>
              <w:rPr>
                <w:rFonts w:hint="eastAsia" w:ascii="仿宋" w:hAnsi="仿宋" w:eastAsia="仿宋"/>
                <w:sz w:val="24"/>
                <w:szCs w:val="24"/>
              </w:rPr>
              <w:t>；</w:t>
            </w:r>
          </w:p>
          <w:p w14:paraId="6D3562EF">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任务协办：针对跨部门、跨科室、跨层级的复杂任务，系统支持任务多级分解和协同办理；</w:t>
            </w:r>
          </w:p>
          <w:p w14:paraId="233E3F98">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任务审核：督办部门领导可</w:t>
            </w:r>
            <w:r>
              <w:rPr>
                <w:rFonts w:hint="eastAsia" w:ascii="仿宋" w:hAnsi="仿宋" w:eastAsia="仿宋"/>
                <w:sz w:val="24"/>
                <w:szCs w:val="24"/>
                <w:lang w:eastAsia="zh-CN"/>
              </w:rPr>
              <w:t>做</w:t>
            </w:r>
            <w:r>
              <w:rPr>
                <w:rFonts w:hint="eastAsia" w:ascii="仿宋" w:hAnsi="仿宋" w:eastAsia="仿宋"/>
                <w:sz w:val="24"/>
                <w:szCs w:val="24"/>
              </w:rPr>
              <w:t>任务审核、归档审核、查看统计报表及任务进度监控；</w:t>
            </w:r>
          </w:p>
          <w:p w14:paraId="23645710">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任务签收：责任部门/协办部门领导可作任务签收、指派、并作进度监控；</w:t>
            </w:r>
          </w:p>
          <w:p w14:paraId="320FBAAC">
            <w:pPr>
              <w:pStyle w:val="13"/>
              <w:numPr>
                <w:ilvl w:val="0"/>
                <w:numId w:val="10"/>
              </w:numPr>
              <w:tabs>
                <w:tab w:val="left" w:pos="214"/>
                <w:tab w:val="left" w:pos="676"/>
              </w:tabs>
              <w:spacing w:line="400" w:lineRule="exact"/>
              <w:ind w:left="604" w:right="-50" w:rightChars="-24" w:firstLineChars="0"/>
              <w:jc w:val="left"/>
              <w:rPr>
                <w:rFonts w:ascii="仿宋" w:hAnsi="仿宋" w:eastAsia="仿宋"/>
                <w:sz w:val="24"/>
                <w:szCs w:val="24"/>
              </w:rPr>
            </w:pPr>
            <w:r>
              <w:rPr>
                <w:rFonts w:hint="eastAsia" w:ascii="仿宋" w:hAnsi="仿宋" w:eastAsia="仿宋"/>
                <w:sz w:val="24"/>
                <w:szCs w:val="24"/>
              </w:rPr>
              <w:t>任务执行：</w:t>
            </w:r>
            <w:r>
              <w:rPr>
                <w:rFonts w:hint="eastAsia" w:ascii="仿宋" w:hAnsi="仿宋" w:eastAsia="仿宋" w:cs="仿宋"/>
                <w:bCs/>
                <w:color w:val="000000" w:themeColor="text1"/>
                <w:sz w:val="24"/>
                <w:szCs w:val="24"/>
                <w14:textFill>
                  <w14:solidFill>
                    <w14:schemeClr w14:val="tx1"/>
                  </w14:solidFill>
                </w14:textFill>
              </w:rPr>
              <w:t>实施人可</w:t>
            </w:r>
            <w:r>
              <w:rPr>
                <w:rFonts w:hint="eastAsia" w:ascii="仿宋" w:hAnsi="仿宋" w:eastAsia="仿宋" w:cs="仿宋"/>
                <w:bCs/>
                <w:color w:val="000000" w:themeColor="text1"/>
                <w:sz w:val="24"/>
                <w:szCs w:val="24"/>
                <w:lang w:eastAsia="zh-CN"/>
                <w14:textFill>
                  <w14:solidFill>
                    <w14:schemeClr w14:val="tx1"/>
                  </w14:solidFill>
                </w14:textFill>
              </w:rPr>
              <w:t>做</w:t>
            </w:r>
            <w:r>
              <w:rPr>
                <w:rFonts w:hint="eastAsia" w:ascii="仿宋" w:hAnsi="仿宋" w:eastAsia="仿宋" w:cs="仿宋"/>
                <w:bCs/>
                <w:color w:val="000000" w:themeColor="text1"/>
                <w:sz w:val="24"/>
                <w:szCs w:val="24"/>
                <w14:textFill>
                  <w14:solidFill>
                    <w14:schemeClr w14:val="tx1"/>
                  </w14:solidFill>
                </w14:textFill>
              </w:rPr>
              <w:t>任务执行、子任务执行、进度填报、材料上传。</w:t>
            </w:r>
          </w:p>
        </w:tc>
      </w:tr>
    </w:tbl>
    <w:p w14:paraId="464D1328">
      <w:pPr>
        <w:pStyle w:val="8"/>
        <w:keepNext w:val="0"/>
        <w:keepLines w:val="0"/>
        <w:pageBreakBefore w:val="0"/>
        <w:widowControl w:val="0"/>
        <w:numPr>
          <w:ilvl w:val="0"/>
          <w:numId w:val="11"/>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p>
    <w:p w14:paraId="552EA0F5">
      <w:pPr>
        <w:pStyle w:val="4"/>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售后服务内容</w:t>
      </w:r>
    </w:p>
    <w:p w14:paraId="4106A12F">
      <w:pPr>
        <w:spacing w:line="360" w:lineRule="auto"/>
        <w:ind w:firstLine="648"/>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w:t>
      </w:r>
      <w:r>
        <w:rPr>
          <w:rFonts w:hint="eastAsia" w:ascii="仿宋" w:hAnsi="仿宋" w:eastAsia="仿宋"/>
          <w:sz w:val="24"/>
          <w:szCs w:val="24"/>
        </w:rPr>
        <w:t>每日提供应急指挥中心平台运维优化服务日报（简报）；</w:t>
      </w:r>
    </w:p>
    <w:p w14:paraId="2D79D0BB">
      <w:pPr>
        <w:spacing w:line="360" w:lineRule="auto"/>
        <w:ind w:firstLine="648"/>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w:t>
      </w:r>
      <w:r>
        <w:rPr>
          <w:rFonts w:hint="eastAsia" w:ascii="仿宋" w:hAnsi="仿宋" w:eastAsia="仿宋"/>
          <w:sz w:val="24"/>
          <w:szCs w:val="24"/>
        </w:rPr>
        <w:t>每月组织服务总结例会提供月报/半年/全年服务报告，</w:t>
      </w:r>
      <w:r>
        <w:rPr>
          <w:rFonts w:hint="eastAsia" w:ascii="仿宋" w:hAnsi="仿宋" w:eastAsia="仿宋"/>
          <w:sz w:val="24"/>
          <w:szCs w:val="24"/>
          <w:lang w:eastAsia="zh-CN"/>
        </w:rPr>
        <w:t>并</w:t>
      </w:r>
      <w:r>
        <w:rPr>
          <w:rFonts w:hint="eastAsia" w:ascii="仿宋" w:hAnsi="仿宋" w:eastAsia="仿宋"/>
          <w:sz w:val="24"/>
          <w:szCs w:val="24"/>
        </w:rPr>
        <w:t>建立问题管理制度。如遇</w:t>
      </w:r>
      <w:r>
        <w:rPr>
          <w:rFonts w:hint="eastAsia" w:ascii="仿宋" w:hAnsi="仿宋" w:eastAsia="仿宋" w:cs="仿宋"/>
          <w:bCs/>
          <w:color w:val="000000" w:themeColor="text1"/>
          <w:sz w:val="24"/>
          <w:szCs w:val="24"/>
          <w14:textFill>
            <w14:solidFill>
              <w14:schemeClr w14:val="tx1"/>
            </w14:solidFill>
          </w14:textFill>
        </w:rPr>
        <w:t>投诉须1小时内启动整改，48小时内提交闭环报告。</w:t>
      </w:r>
    </w:p>
    <w:p w14:paraId="5CEB96C4">
      <w:pPr>
        <w:pStyle w:val="4"/>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en-US" w:eastAsia="zh-CN" w:bidi="ar-SA"/>
        </w:rPr>
        <w:t>服务方式</w:t>
      </w:r>
    </w:p>
    <w:p w14:paraId="08BC013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甲方可获得乙方7*24小时的技术支持中心客户热线电话、传真、EMAIL、在线支持以及现场服务，解答软件系统应用中的各种问题。</w:t>
      </w:r>
    </w:p>
    <w:tbl>
      <w:tblPr>
        <w:tblStyle w:val="11"/>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1667"/>
        <w:gridCol w:w="4041"/>
      </w:tblGrid>
      <w:tr w14:paraId="10B1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695" w:type="dxa"/>
          </w:tcPr>
          <w:p w14:paraId="2E70023E">
            <w:pPr>
              <w:shd w:val="clear"/>
              <w:spacing w:line="360" w:lineRule="auto"/>
              <w:rPr>
                <w:rFonts w:hint="eastAsia" w:ascii="仿宋" w:hAnsi="仿宋" w:eastAsia="仿宋" w:cs="仿宋"/>
                <w:kern w:val="0"/>
                <w:sz w:val="24"/>
              </w:rPr>
            </w:pPr>
            <w:r>
              <w:rPr>
                <w:rFonts w:hint="eastAsia" w:ascii="仿宋" w:hAnsi="仿宋" w:eastAsia="仿宋" w:cs="仿宋"/>
                <w:kern w:val="0"/>
                <w:sz w:val="24"/>
              </w:rPr>
              <w:t>错误报告类别</w:t>
            </w:r>
          </w:p>
        </w:tc>
        <w:tc>
          <w:tcPr>
            <w:tcW w:w="1667" w:type="dxa"/>
          </w:tcPr>
          <w:p w14:paraId="6A8E31D6">
            <w:pPr>
              <w:shd w:val="clear"/>
              <w:spacing w:line="360" w:lineRule="auto"/>
              <w:rPr>
                <w:rFonts w:hint="eastAsia" w:ascii="仿宋" w:hAnsi="仿宋" w:eastAsia="仿宋" w:cs="仿宋"/>
                <w:kern w:val="0"/>
                <w:sz w:val="24"/>
              </w:rPr>
            </w:pPr>
            <w:r>
              <w:rPr>
                <w:rFonts w:hint="eastAsia" w:ascii="仿宋" w:hAnsi="仿宋" w:eastAsia="仿宋" w:cs="仿宋"/>
                <w:kern w:val="0"/>
                <w:sz w:val="24"/>
              </w:rPr>
              <w:t>响应时间</w:t>
            </w:r>
          </w:p>
        </w:tc>
        <w:tc>
          <w:tcPr>
            <w:tcW w:w="4041" w:type="dxa"/>
          </w:tcPr>
          <w:p w14:paraId="796E0CA6">
            <w:pPr>
              <w:shd w:val="clear"/>
              <w:spacing w:line="360" w:lineRule="auto"/>
              <w:rPr>
                <w:rFonts w:hint="eastAsia" w:ascii="仿宋" w:hAnsi="仿宋" w:eastAsia="仿宋" w:cs="仿宋"/>
                <w:kern w:val="0"/>
                <w:sz w:val="24"/>
              </w:rPr>
            </w:pPr>
            <w:r>
              <w:rPr>
                <w:rFonts w:hint="eastAsia" w:ascii="仿宋" w:hAnsi="仿宋" w:eastAsia="仿宋" w:cs="仿宋"/>
                <w:kern w:val="0"/>
                <w:sz w:val="24"/>
              </w:rPr>
              <w:t>解决办法</w:t>
            </w:r>
          </w:p>
        </w:tc>
      </w:tr>
      <w:tr w14:paraId="67E0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95" w:type="dxa"/>
          </w:tcPr>
          <w:p w14:paraId="230754DC">
            <w:pPr>
              <w:shd w:val="clear"/>
              <w:spacing w:line="360" w:lineRule="auto"/>
              <w:rPr>
                <w:rFonts w:hint="eastAsia" w:ascii="仿宋" w:hAnsi="仿宋" w:eastAsia="仿宋" w:cs="仿宋"/>
                <w:kern w:val="0"/>
                <w:sz w:val="24"/>
              </w:rPr>
            </w:pPr>
            <w:r>
              <w:rPr>
                <w:rFonts w:hint="eastAsia" w:ascii="仿宋" w:hAnsi="仿宋" w:eastAsia="仿宋" w:cs="仿宋"/>
                <w:kern w:val="0"/>
                <w:sz w:val="24"/>
              </w:rPr>
              <w:t>致命错误（Fatal）</w:t>
            </w:r>
          </w:p>
        </w:tc>
        <w:tc>
          <w:tcPr>
            <w:tcW w:w="1667" w:type="dxa"/>
          </w:tcPr>
          <w:p w14:paraId="40A378E9">
            <w:pPr>
              <w:shd w:val="clear"/>
              <w:spacing w:line="360" w:lineRule="auto"/>
              <w:rPr>
                <w:rFonts w:hint="eastAsia" w:ascii="仿宋" w:hAnsi="仿宋" w:eastAsia="仿宋" w:cs="仿宋"/>
                <w:kern w:val="0"/>
                <w:sz w:val="24"/>
              </w:rPr>
            </w:pPr>
            <w:r>
              <w:rPr>
                <w:rFonts w:hint="eastAsia" w:ascii="仿宋" w:hAnsi="仿宋" w:eastAsia="仿宋" w:cs="仿宋"/>
                <w:kern w:val="0"/>
                <w:sz w:val="24"/>
              </w:rPr>
              <w:t>1个小时</w:t>
            </w:r>
          </w:p>
        </w:tc>
        <w:tc>
          <w:tcPr>
            <w:tcW w:w="4041" w:type="dxa"/>
          </w:tcPr>
          <w:p w14:paraId="1311C73D">
            <w:pPr>
              <w:shd w:val="clear"/>
              <w:spacing w:line="360" w:lineRule="auto"/>
              <w:rPr>
                <w:rFonts w:hint="eastAsia" w:ascii="仿宋" w:hAnsi="仿宋" w:eastAsia="仿宋" w:cs="仿宋"/>
                <w:kern w:val="0"/>
                <w:sz w:val="24"/>
              </w:rPr>
            </w:pPr>
            <w:r>
              <w:rPr>
                <w:rFonts w:hint="eastAsia" w:ascii="仿宋" w:hAnsi="仿宋" w:eastAsia="仿宋" w:cs="仿宋"/>
                <w:kern w:val="0"/>
                <w:sz w:val="24"/>
              </w:rPr>
              <w:t>研究解决方法并力争尽快解决，最长不得超过2个小时</w:t>
            </w:r>
          </w:p>
        </w:tc>
      </w:tr>
      <w:tr w14:paraId="6398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695" w:type="dxa"/>
          </w:tcPr>
          <w:p w14:paraId="002C4055">
            <w:pPr>
              <w:shd w:val="clear"/>
              <w:spacing w:line="360" w:lineRule="auto"/>
              <w:rPr>
                <w:rFonts w:hint="eastAsia" w:ascii="仿宋" w:hAnsi="仿宋" w:eastAsia="仿宋" w:cs="仿宋"/>
                <w:kern w:val="0"/>
                <w:sz w:val="24"/>
              </w:rPr>
            </w:pPr>
            <w:r>
              <w:rPr>
                <w:rFonts w:hint="eastAsia" w:ascii="仿宋" w:hAnsi="仿宋" w:eastAsia="仿宋" w:cs="仿宋"/>
                <w:kern w:val="0"/>
                <w:sz w:val="24"/>
              </w:rPr>
              <w:t>严重错误（Serious）</w:t>
            </w:r>
          </w:p>
        </w:tc>
        <w:tc>
          <w:tcPr>
            <w:tcW w:w="1667" w:type="dxa"/>
          </w:tcPr>
          <w:p w14:paraId="76AB7E91">
            <w:pPr>
              <w:shd w:val="clear"/>
              <w:spacing w:line="360" w:lineRule="auto"/>
              <w:rPr>
                <w:rFonts w:hint="eastAsia" w:ascii="仿宋" w:hAnsi="仿宋" w:eastAsia="仿宋" w:cs="仿宋"/>
                <w:kern w:val="0"/>
                <w:sz w:val="24"/>
              </w:rPr>
            </w:pPr>
            <w:r>
              <w:rPr>
                <w:rFonts w:hint="eastAsia" w:ascii="仿宋" w:hAnsi="仿宋" w:eastAsia="仿宋" w:cs="仿宋"/>
                <w:kern w:val="0"/>
                <w:sz w:val="24"/>
              </w:rPr>
              <w:t>2个小时</w:t>
            </w:r>
          </w:p>
        </w:tc>
        <w:tc>
          <w:tcPr>
            <w:tcW w:w="4041" w:type="dxa"/>
          </w:tcPr>
          <w:p w14:paraId="1786E6B6">
            <w:pPr>
              <w:shd w:val="clear"/>
              <w:spacing w:line="360" w:lineRule="auto"/>
              <w:rPr>
                <w:rFonts w:hint="eastAsia" w:ascii="仿宋" w:hAnsi="仿宋" w:eastAsia="仿宋" w:cs="仿宋"/>
                <w:kern w:val="0"/>
                <w:sz w:val="24"/>
              </w:rPr>
            </w:pPr>
            <w:r>
              <w:rPr>
                <w:rFonts w:hint="eastAsia" w:ascii="仿宋" w:hAnsi="仿宋" w:eastAsia="仿宋" w:cs="仿宋"/>
                <w:kern w:val="0"/>
                <w:sz w:val="24"/>
              </w:rPr>
              <w:t>尽快修正，或提交Service Pack</w:t>
            </w:r>
          </w:p>
        </w:tc>
      </w:tr>
      <w:tr w14:paraId="7538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695" w:type="dxa"/>
          </w:tcPr>
          <w:p w14:paraId="19C8E19C">
            <w:pPr>
              <w:shd w:val="clear"/>
              <w:spacing w:line="360" w:lineRule="auto"/>
              <w:rPr>
                <w:rFonts w:hint="eastAsia" w:ascii="仿宋" w:hAnsi="仿宋" w:eastAsia="仿宋" w:cs="仿宋"/>
                <w:kern w:val="0"/>
                <w:sz w:val="24"/>
              </w:rPr>
            </w:pPr>
            <w:r>
              <w:rPr>
                <w:rFonts w:hint="eastAsia" w:ascii="仿宋" w:hAnsi="仿宋" w:eastAsia="仿宋" w:cs="仿宋"/>
                <w:kern w:val="0"/>
                <w:sz w:val="24"/>
              </w:rPr>
              <w:t>一般错误（Minor）</w:t>
            </w:r>
          </w:p>
        </w:tc>
        <w:tc>
          <w:tcPr>
            <w:tcW w:w="1667" w:type="dxa"/>
          </w:tcPr>
          <w:p w14:paraId="3C6F4B61">
            <w:pPr>
              <w:shd w:val="clear"/>
              <w:spacing w:line="360" w:lineRule="auto"/>
              <w:rPr>
                <w:rFonts w:hint="eastAsia" w:ascii="仿宋" w:hAnsi="仿宋" w:eastAsia="仿宋" w:cs="仿宋"/>
                <w:kern w:val="0"/>
                <w:sz w:val="24"/>
              </w:rPr>
            </w:pPr>
            <w:r>
              <w:rPr>
                <w:rFonts w:hint="eastAsia" w:ascii="仿宋" w:hAnsi="仿宋" w:eastAsia="仿宋" w:cs="仿宋"/>
                <w:kern w:val="0"/>
                <w:sz w:val="24"/>
              </w:rPr>
              <w:t>4个小时</w:t>
            </w:r>
          </w:p>
        </w:tc>
        <w:tc>
          <w:tcPr>
            <w:tcW w:w="4041" w:type="dxa"/>
          </w:tcPr>
          <w:p w14:paraId="5E216D2E">
            <w:pPr>
              <w:shd w:val="clear"/>
              <w:spacing w:line="360" w:lineRule="auto"/>
              <w:rPr>
                <w:rFonts w:hint="eastAsia" w:ascii="仿宋" w:hAnsi="仿宋" w:eastAsia="仿宋" w:cs="仿宋"/>
                <w:kern w:val="0"/>
                <w:sz w:val="24"/>
              </w:rPr>
            </w:pPr>
            <w:r>
              <w:rPr>
                <w:rFonts w:hint="eastAsia" w:ascii="仿宋" w:hAnsi="仿宋" w:eastAsia="仿宋" w:cs="仿宋"/>
                <w:kern w:val="0"/>
                <w:sz w:val="24"/>
              </w:rPr>
              <w:t>以Service Pack修正</w:t>
            </w:r>
          </w:p>
        </w:tc>
      </w:tr>
    </w:tbl>
    <w:p w14:paraId="208C999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定义：</w:t>
      </w:r>
    </w:p>
    <w:p w14:paraId="0027C25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致命错误——能够引起系统停机或中断的错误；</w:t>
      </w:r>
    </w:p>
    <w:p w14:paraId="299E64E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严重错误——对系统运行有较大影响，但不致导致系统停机或无法使用的错误；</w:t>
      </w:r>
    </w:p>
    <w:p w14:paraId="2F222A3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一般错误——对系统运行有影响，但不妨碍系统正常运行的错误；</w:t>
      </w:r>
    </w:p>
    <w:p w14:paraId="474EC08C">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响应时间——自甲方向乙方发出书面报告错误之时起计。</w:t>
      </w:r>
    </w:p>
    <w:p w14:paraId="18717650">
      <w:pPr>
        <w:pStyle w:val="8"/>
        <w:spacing w:after="120" w:line="360" w:lineRule="auto"/>
        <w:rPr>
          <w:rFonts w:hint="eastAsia" w:ascii="仿宋" w:hAnsi="仿宋" w:eastAsia="仿宋" w:cs="仿宋"/>
          <w:sz w:val="24"/>
          <w:szCs w:val="24"/>
          <w:lang w:val="zh-CN" w:eastAsia="zh-CN"/>
        </w:rPr>
      </w:pPr>
    </w:p>
    <w:p w14:paraId="368876F1">
      <w:pPr>
        <w:pStyle w:val="3"/>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商务要求</w:t>
      </w:r>
    </w:p>
    <w:p w14:paraId="3CE351F3">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（一）项目提交物</w:t>
      </w:r>
    </w:p>
    <w:p w14:paraId="67F093B4">
      <w:pPr>
        <w:widowControl/>
        <w:shd w:val="clear"/>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服务期每三个月，乙方向甲方提交项目交付物，包括但不限于：巡检报告、系统应用效果评价报告（见附件1）、需求沟通会议纪要（如有）、需求变更改造清单（如有）、用户培训记录（如有）、系统调优记录（如有）。</w:t>
      </w:r>
    </w:p>
    <w:p w14:paraId="5B669F05">
      <w:pPr>
        <w:snapToGrid w:val="0"/>
        <w:spacing w:line="360" w:lineRule="auto"/>
        <w:ind w:firstLine="482" w:firstLineChars="200"/>
        <w:jc w:val="left"/>
        <w:outlineLvl w:val="2"/>
        <w:rPr>
          <w:rFonts w:hint="eastAsia"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（二）付款方式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0%作为首付款，即人民币</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p>
    <w:p w14:paraId="06374BD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w:t>
      </w:r>
      <w:r>
        <w:rPr>
          <w:rFonts w:hint="eastAsia" w:ascii="仿宋" w:hAnsi="仿宋" w:eastAsia="仿宋" w:cs="仿宋"/>
          <w:sz w:val="24"/>
          <w:szCs w:val="24"/>
        </w:rPr>
        <w:t>：</w:t>
      </w:r>
      <w:r>
        <w:rPr>
          <w:rFonts w:hint="eastAsia" w:ascii="仿宋" w:hAnsi="仿宋" w:eastAsia="仿宋" w:cs="仿宋"/>
          <w:sz w:val="24"/>
          <w:szCs w:val="24"/>
          <w:lang w:val="en-US" w:eastAsia="zh-CN"/>
        </w:rPr>
        <w:t>服务期满6个月</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cs="仿宋"/>
          <w:sz w:val="24"/>
          <w:szCs w:val="24"/>
        </w:rPr>
        <w:t>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w:t>
      </w:r>
      <w:r>
        <w:rPr>
          <w:rFonts w:hint="eastAsia" w:ascii="仿宋" w:hAnsi="仿宋" w:eastAsia="仿宋" w:cs="仿宋"/>
          <w:sz w:val="24"/>
          <w:szCs w:val="24"/>
          <w:lang w:val="en-US" w:eastAsia="zh-CN"/>
        </w:rPr>
        <w:t>进度</w:t>
      </w:r>
      <w:r>
        <w:rPr>
          <w:rFonts w:hint="eastAsia" w:ascii="仿宋" w:hAnsi="仿宋" w:eastAsia="仿宋" w:cs="仿宋"/>
          <w:sz w:val="24"/>
          <w:szCs w:val="24"/>
        </w:rPr>
        <w:t>款，即人民币</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元（￥ 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05E09C3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1C7F35F5">
      <w:pPr>
        <w:pStyle w:val="13"/>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乙方开具相应金额的发票给甲方后，甲方采用银行电汇的方式付款。 </w:t>
      </w:r>
    </w:p>
    <w:p w14:paraId="537A4839">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三</w:t>
      </w: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服务续签</w:t>
      </w:r>
    </w:p>
    <w:p w14:paraId="7BECCEA3">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p>
    <w:p w14:paraId="1C385BA1">
      <w:pPr>
        <w:snapToGrid w:val="0"/>
        <w:spacing w:line="360" w:lineRule="auto"/>
        <w:ind w:firstLine="482" w:firstLineChars="200"/>
        <w:jc w:val="left"/>
        <w:outlineLvl w:val="2"/>
        <w:rPr>
          <w:rFonts w:ascii="仿宋" w:hAnsi="仿宋" w:eastAsia="仿宋" w:cs="宋体"/>
          <w:b/>
          <w:bCs/>
          <w:color w:val="000000"/>
          <w:sz w:val="24"/>
          <w:szCs w:val="24"/>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四</w:t>
      </w:r>
      <w:r>
        <w:rPr>
          <w:rFonts w:hint="eastAsia" w:ascii="仿宋" w:hAnsi="仿宋" w:eastAsia="仿宋" w:cs="宋体"/>
          <w:b/>
          <w:bCs/>
          <w:color w:val="000000"/>
          <w:sz w:val="24"/>
          <w:szCs w:val="24"/>
        </w:rPr>
        <w:t>）违约责任</w:t>
      </w:r>
    </w:p>
    <w:p w14:paraId="0712EFF5">
      <w:pPr>
        <w:pStyle w:val="13"/>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w:t>
      </w:r>
      <w:r>
        <w:rPr>
          <w:rFonts w:hint="eastAsia" w:ascii="仿宋" w:hAnsi="仿宋" w:eastAsia="仿宋"/>
          <w:color w:val="000000"/>
          <w:kern w:val="0"/>
          <w:sz w:val="24"/>
          <w:szCs w:val="24"/>
          <w:lang w:eastAsia="zh-CN"/>
        </w:rPr>
        <w:t>，</w:t>
      </w:r>
      <w:r>
        <w:rPr>
          <w:rFonts w:hint="eastAsia" w:ascii="仿宋" w:hAnsi="仿宋" w:eastAsia="仿宋"/>
          <w:color w:val="000000"/>
          <w:kern w:val="0"/>
          <w:sz w:val="24"/>
          <w:szCs w:val="24"/>
        </w:rPr>
        <w:t>违约金的总额不超过合同总价的10%。</w:t>
      </w:r>
    </w:p>
    <w:p w14:paraId="511A5695">
      <w:pPr>
        <w:pStyle w:val="13"/>
        <w:numPr>
          <w:ilvl w:val="0"/>
          <w:numId w:val="0"/>
        </w:numPr>
        <w:topLinePunct/>
        <w:spacing w:line="360" w:lineRule="auto"/>
        <w:ind w:firstLine="480" w:firstLineChars="200"/>
        <w:rPr>
          <w:rFonts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w:t>
      </w:r>
      <w:r>
        <w:rPr>
          <w:rFonts w:hint="eastAsia" w:ascii="仿宋" w:hAnsi="仿宋" w:eastAsia="仿宋"/>
          <w:color w:val="000000"/>
          <w:kern w:val="0"/>
          <w:sz w:val="24"/>
          <w:szCs w:val="24"/>
          <w:lang w:eastAsia="zh-CN"/>
        </w:rPr>
        <w:t>未能</w:t>
      </w:r>
      <w:r>
        <w:rPr>
          <w:rFonts w:hint="eastAsia" w:ascii="仿宋" w:hAnsi="仿宋" w:eastAsia="仿宋"/>
          <w:color w:val="000000"/>
          <w:kern w:val="0"/>
          <w:sz w:val="24"/>
          <w:szCs w:val="24"/>
        </w:rPr>
        <w:t>按期完成工作的，则乙方不承担由此产生的逾期未完成工作的责任。</w:t>
      </w:r>
    </w:p>
    <w:p w14:paraId="7C9CEAE8">
      <w:pPr>
        <w:spacing w:line="360" w:lineRule="auto"/>
        <w:rPr>
          <w:rFonts w:hint="eastAsia" w:ascii="仿宋" w:hAnsi="仿宋" w:eastAsia="仿宋" w:cs="仿宋"/>
          <w:spacing w:val="4"/>
          <w:sz w:val="24"/>
          <w:szCs w:val="24"/>
          <w:lang w:eastAsia="en-US"/>
        </w:rPr>
      </w:pPr>
    </w:p>
    <w:p w14:paraId="7A36A255">
      <w:pPr>
        <w:spacing w:line="360" w:lineRule="auto"/>
        <w:rPr>
          <w:rFonts w:hint="eastAsia" w:ascii="仿宋" w:hAnsi="仿宋" w:eastAsia="仿宋" w:cs="仿宋"/>
          <w:spacing w:val="4"/>
          <w:sz w:val="24"/>
          <w:szCs w:val="24"/>
          <w:lang w:eastAsia="en-US"/>
        </w:rPr>
      </w:pPr>
    </w:p>
    <w:p w14:paraId="1FAB4A42">
      <w:pPr>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br w:type="page"/>
      </w:r>
    </w:p>
    <w:p w14:paraId="6C4EA248">
      <w:pPr>
        <w:jc w:val="left"/>
        <w:outlineLvl w:val="1"/>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附件1：</w:t>
      </w:r>
    </w:p>
    <w:p w14:paraId="12FC25FC">
      <w:pPr>
        <w:jc w:val="center"/>
        <w:rPr>
          <w:rFonts w:ascii="黑体" w:hAnsi="黑体" w:eastAsia="黑体"/>
          <w:sz w:val="28"/>
          <w:szCs w:val="28"/>
        </w:rPr>
      </w:pPr>
      <w:r>
        <w:rPr>
          <w:rFonts w:ascii="黑体" w:hAnsi="黑体" w:eastAsia="黑体"/>
          <w:sz w:val="28"/>
          <w:szCs w:val="28"/>
        </w:rPr>
        <w:t>武汉市中心医院</w:t>
      </w:r>
    </w:p>
    <w:p w14:paraId="46611857">
      <w:pPr>
        <w:jc w:val="center"/>
        <w:rPr>
          <w:rFonts w:hint="eastAsia" w:ascii="黑体" w:hAnsi="黑体" w:eastAsia="黑体"/>
          <w:sz w:val="32"/>
          <w:szCs w:val="32"/>
          <w:lang w:eastAsia="zh-CN"/>
        </w:rPr>
      </w:pPr>
      <w:r>
        <w:rPr>
          <w:rFonts w:ascii="黑体" w:hAnsi="黑体" w:eastAsia="黑体"/>
          <w:sz w:val="32"/>
          <w:szCs w:val="32"/>
        </w:rPr>
        <w:t>20</w:t>
      </w:r>
      <w:r>
        <w:rPr>
          <w:rFonts w:hint="eastAsia" w:ascii="黑体" w:hAnsi="黑体" w:eastAsia="黑体"/>
          <w:sz w:val="32"/>
          <w:szCs w:val="32"/>
        </w:rPr>
        <w:t>xx年</w:t>
      </w:r>
      <w:r>
        <w:rPr>
          <w:rFonts w:ascii="黑体" w:hAnsi="黑体" w:eastAsia="黑体"/>
          <w:sz w:val="32"/>
          <w:szCs w:val="32"/>
        </w:rPr>
        <w:t>度</w:t>
      </w:r>
      <w:r>
        <w:rPr>
          <w:rFonts w:hint="eastAsia" w:ascii="黑体" w:hAnsi="黑体" w:eastAsia="黑体"/>
          <w:sz w:val="32"/>
          <w:szCs w:val="32"/>
          <w:lang w:val="en-US" w:eastAsia="zh-CN"/>
        </w:rPr>
        <w:t>售后</w:t>
      </w:r>
      <w:r>
        <w:rPr>
          <w:rFonts w:hint="eastAsia" w:ascii="黑体" w:hAnsi="黑体" w:eastAsia="黑体"/>
          <w:sz w:val="32"/>
          <w:szCs w:val="32"/>
        </w:rPr>
        <w:t>维保服务</w:t>
      </w:r>
      <w:r>
        <w:rPr>
          <w:rFonts w:ascii="黑体" w:hAnsi="黑体" w:eastAsia="黑体"/>
          <w:sz w:val="32"/>
          <w:szCs w:val="32"/>
        </w:rPr>
        <w:t>评价</w:t>
      </w:r>
      <w:r>
        <w:rPr>
          <w:rFonts w:hint="eastAsia" w:ascii="黑体" w:hAnsi="黑体" w:eastAsia="黑体"/>
          <w:sz w:val="32"/>
          <w:szCs w:val="32"/>
          <w:lang w:val="en-US" w:eastAsia="zh-CN"/>
        </w:rPr>
        <w:t>报告</w:t>
      </w:r>
      <w:r>
        <w:rPr>
          <w:rFonts w:hint="eastAsia" w:ascii="黑体" w:hAnsi="黑体" w:eastAsia="黑体"/>
          <w:sz w:val="32"/>
          <w:szCs w:val="32"/>
          <w:lang w:eastAsia="zh-CN"/>
        </w:rPr>
        <w:t>（</w:t>
      </w:r>
      <w:r>
        <w:rPr>
          <w:rFonts w:hint="eastAsia" w:ascii="黑体" w:hAnsi="黑体" w:eastAsia="黑体"/>
          <w:sz w:val="32"/>
          <w:szCs w:val="32"/>
          <w:lang w:val="en-US" w:eastAsia="zh-CN"/>
        </w:rPr>
        <w:t>模板</w:t>
      </w:r>
      <w:r>
        <w:rPr>
          <w:rFonts w:hint="eastAsia" w:ascii="黑体" w:hAnsi="黑体" w:eastAsia="黑体"/>
          <w:sz w:val="32"/>
          <w:szCs w:val="32"/>
          <w:lang w:eastAsia="zh-CN"/>
        </w:rPr>
        <w:t>）</w:t>
      </w:r>
    </w:p>
    <w:tbl>
      <w:tblPr>
        <w:tblStyle w:val="11"/>
        <w:tblW w:w="8271" w:type="dxa"/>
        <w:tblInd w:w="113" w:type="dxa"/>
        <w:tblLayout w:type="fixed"/>
        <w:tblCellMar>
          <w:top w:w="0" w:type="dxa"/>
          <w:left w:w="108" w:type="dxa"/>
          <w:bottom w:w="0" w:type="dxa"/>
          <w:right w:w="108" w:type="dxa"/>
        </w:tblCellMar>
      </w:tblPr>
      <w:tblGrid>
        <w:gridCol w:w="1429"/>
        <w:gridCol w:w="2699"/>
        <w:gridCol w:w="4143"/>
      </w:tblGrid>
      <w:tr w14:paraId="33E41CD2">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69FBF568">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647983F">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w:t>
            </w:r>
          </w:p>
        </w:tc>
      </w:tr>
      <w:tr w14:paraId="44C8FF62">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50B0BD96">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7619D0E">
            <w:pPr>
              <w:widowControl/>
              <w:spacing w:line="240" w:lineRule="auto"/>
              <w:jc w:val="center"/>
              <w:rPr>
                <w:rFonts w:ascii="仿宋" w:hAnsi="仿宋" w:eastAsia="仿宋" w:cs="宋体"/>
                <w:color w:val="000000"/>
                <w:kern w:val="0"/>
                <w:sz w:val="24"/>
                <w:szCs w:val="24"/>
              </w:rPr>
            </w:pPr>
          </w:p>
        </w:tc>
      </w:tr>
      <w:tr w14:paraId="732FE24E">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6A763841">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8A7AA14">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75E48F81">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09B085F7">
            <w:pPr>
              <w:widowControl/>
              <w:spacing w:line="240" w:lineRule="auto"/>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79790F6C">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16BC0854">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381461C">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129036D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2549941A">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664006FA">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BEA0E09">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27185DC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4396F0F9">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40BE1571">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0262B444">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06E918EA">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2B26E411">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59287AC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4AB60D62">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17F8206C">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4DF0E2">
            <w:pPr>
              <w:bidi w:val="0"/>
              <w:jc w:val="center"/>
              <w:rPr>
                <w:rFonts w:hint="eastAsia" w:ascii="仿宋" w:hAnsi="仿宋" w:eastAsia="仿宋" w:cs="仿宋"/>
                <w:sz w:val="24"/>
                <w:szCs w:val="24"/>
              </w:rPr>
            </w:pPr>
            <w:r>
              <w:rPr>
                <w:rFonts w:hint="eastAsia" w:ascii="仿宋" w:hAnsi="仿宋" w:eastAsia="仿宋" w:cs="仿宋"/>
                <w:sz w:val="24"/>
                <w:szCs w:val="24"/>
              </w:rPr>
              <w:t>服务质量</w:t>
            </w:r>
          </w:p>
          <w:p w14:paraId="1E3507AF">
            <w:pPr>
              <w:bidi w:val="0"/>
              <w:jc w:val="center"/>
              <w:rPr>
                <w:rFonts w:hint="eastAsia" w:ascii="仿宋" w:hAnsi="仿宋" w:eastAsia="仿宋" w:cs="仿宋"/>
                <w:sz w:val="24"/>
                <w:szCs w:val="24"/>
                <w:lang w:eastAsia="zh-CN"/>
              </w:rPr>
            </w:pPr>
            <w:r>
              <w:rPr>
                <w:rFonts w:hint="eastAsia" w:ascii="仿宋" w:hAnsi="仿宋" w:eastAsia="仿宋" w:cs="仿宋"/>
                <w:sz w:val="24"/>
                <w:szCs w:val="24"/>
              </w:rPr>
              <w:t>评价</w:t>
            </w:r>
          </w:p>
          <w:p w14:paraId="5AE0E731">
            <w:pPr>
              <w:bidi w:val="0"/>
              <w:jc w:val="center"/>
              <w:rPr>
                <w:rFonts w:ascii="仿宋" w:hAnsi="仿宋" w:eastAsia="仿宋" w:cs="宋体"/>
                <w:color w:val="000000"/>
                <w:kern w:val="0"/>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lang w:eastAsia="zh-CN"/>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5A48CFC">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1D532E41">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59A599B1">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FC65AE">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3789402">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761EE5E0">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79E9944E">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F15D77">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A0AD93A">
            <w:pPr>
              <w:widowControl/>
              <w:spacing w:line="240" w:lineRule="auto"/>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lang w:val="en-US" w:eastAsia="zh-CN"/>
              </w:rPr>
              <w:t>1.</w:t>
            </w:r>
            <w:r>
              <w:rPr>
                <w:rFonts w:hint="eastAsia" w:ascii="仿宋" w:hAnsi="仿宋" w:eastAsia="仿宋" w:cs="宋体"/>
                <w:color w:val="000000"/>
                <w:kern w:val="0"/>
                <w:sz w:val="22"/>
                <w:szCs w:val="22"/>
              </w:rPr>
              <w:t>服务响应效率：大于1小时次数</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rPr>
              <w:t>次</w:t>
            </w:r>
          </w:p>
          <w:p w14:paraId="344A928F">
            <w:pPr>
              <w:widowControl/>
              <w:spacing w:line="240" w:lineRule="auto"/>
              <w:jc w:val="left"/>
              <w:rPr>
                <w:rFonts w:ascii="仿宋" w:hAnsi="仿宋" w:eastAsia="仿宋" w:cs="宋体"/>
                <w:color w:val="000000"/>
                <w:kern w:val="0"/>
                <w:sz w:val="24"/>
                <w:szCs w:val="24"/>
              </w:rPr>
            </w:pPr>
            <w:r>
              <w:rPr>
                <w:rFonts w:hint="eastAsia" w:ascii="仿宋" w:hAnsi="仿宋" w:eastAsia="仿宋" w:cs="仿宋"/>
                <w:sz w:val="22"/>
                <w:szCs w:val="22"/>
                <w:lang w:val="en-US" w:eastAsia="zh-CN"/>
              </w:rPr>
              <w:t>2.因乙方未提前通知导致甲方系统故障：故障次数</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rPr>
              <w:t>次</w:t>
            </w:r>
          </w:p>
        </w:tc>
      </w:tr>
      <w:tr w14:paraId="3F61A141">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5C576B">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745677C">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3B9F2D22">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33F09F">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C4B58B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4A28BD6F">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5C2D4900">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63701A">
            <w:pPr>
              <w:spacing w:line="240" w:lineRule="auto"/>
              <w:rPr>
                <w:rFonts w:hint="eastAsia" w:ascii="仿宋" w:hAnsi="仿宋" w:eastAsia="仿宋"/>
                <w:bCs/>
                <w:sz w:val="24"/>
                <w:szCs w:val="24"/>
              </w:rPr>
            </w:pPr>
            <w:r>
              <w:rPr>
                <w:rFonts w:hint="eastAsia" w:ascii="仿宋" w:hAnsi="仿宋" w:eastAsia="仿宋"/>
                <w:bCs/>
                <w:sz w:val="24"/>
                <w:szCs w:val="24"/>
              </w:rPr>
              <w:t>监理单位（盖章）：</w:t>
            </w:r>
          </w:p>
          <w:p w14:paraId="015743C4">
            <w:pPr>
              <w:spacing w:line="240" w:lineRule="auto"/>
              <w:rPr>
                <w:rFonts w:hint="eastAsia" w:ascii="仿宋" w:hAnsi="仿宋" w:eastAsia="仿宋"/>
                <w:bCs/>
                <w:sz w:val="22"/>
                <w:szCs w:val="22"/>
              </w:rPr>
            </w:pPr>
          </w:p>
          <w:p w14:paraId="0C5A63CC">
            <w:pPr>
              <w:spacing w:line="240" w:lineRule="auto"/>
              <w:rPr>
                <w:rFonts w:hint="eastAsia" w:ascii="仿宋" w:hAnsi="仿宋" w:eastAsia="仿宋"/>
                <w:bCs/>
                <w:sz w:val="22"/>
                <w:szCs w:val="22"/>
              </w:rPr>
            </w:pPr>
          </w:p>
          <w:p w14:paraId="4B50A7BD">
            <w:pPr>
              <w:spacing w:line="240" w:lineRule="auto"/>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2F71D66B">
            <w:pPr>
              <w:spacing w:line="240" w:lineRule="auto"/>
              <w:rPr>
                <w:rFonts w:hint="eastAsia"/>
                <w:sz w:val="22"/>
                <w:szCs w:val="21"/>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3820AB97">
            <w:pPr>
              <w:spacing w:line="240" w:lineRule="auto"/>
              <w:rPr>
                <w:rFonts w:hint="eastAsia" w:ascii="仿宋" w:hAnsi="仿宋" w:eastAsia="仿宋"/>
                <w:bCs/>
                <w:sz w:val="24"/>
                <w:szCs w:val="24"/>
              </w:rPr>
            </w:pPr>
            <w:r>
              <w:rPr>
                <w:rFonts w:hint="eastAsia" w:ascii="仿宋" w:hAnsi="仿宋" w:eastAsia="仿宋"/>
                <w:bCs/>
                <w:sz w:val="24"/>
                <w:szCs w:val="24"/>
              </w:rPr>
              <w:t>审计单位（盖章）：</w:t>
            </w:r>
          </w:p>
          <w:p w14:paraId="7E630DA7">
            <w:pPr>
              <w:spacing w:line="240" w:lineRule="auto"/>
              <w:rPr>
                <w:rFonts w:hint="eastAsia" w:ascii="仿宋" w:hAnsi="仿宋" w:eastAsia="仿宋"/>
                <w:bCs/>
                <w:sz w:val="22"/>
                <w:szCs w:val="22"/>
              </w:rPr>
            </w:pPr>
          </w:p>
          <w:p w14:paraId="19DCB8DF">
            <w:pPr>
              <w:spacing w:line="240" w:lineRule="auto"/>
              <w:rPr>
                <w:rFonts w:hint="eastAsia" w:ascii="仿宋" w:hAnsi="仿宋" w:eastAsia="仿宋"/>
                <w:bCs/>
                <w:sz w:val="22"/>
                <w:szCs w:val="22"/>
              </w:rPr>
            </w:pPr>
          </w:p>
          <w:p w14:paraId="0D476FE3">
            <w:pPr>
              <w:spacing w:line="240" w:lineRule="auto"/>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4CD8C4C9">
            <w:pPr>
              <w:widowControl/>
              <w:spacing w:line="240" w:lineRule="auto"/>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52A461D7">
      <w:pPr>
        <w:pStyle w:val="7"/>
        <w:rPr>
          <w:rFonts w:hint="default"/>
          <w:lang w:val="en-US" w:eastAsia="zh-CN"/>
        </w:rPr>
      </w:pPr>
      <w:r>
        <w:rPr>
          <w:rFonts w:hint="eastAsia"/>
          <w:lang w:val="en-US" w:eastAsia="zh-CN"/>
        </w:rPr>
        <w:t xml:space="preserve"> </w:t>
      </w:r>
      <w:r>
        <w:rPr>
          <w:rFonts w:hint="eastAsia" w:ascii="仿宋" w:hAnsi="仿宋" w:eastAsia="仿宋" w:cs="宋体"/>
          <w:color w:val="000000"/>
          <w:kern w:val="0"/>
          <w:sz w:val="22"/>
          <w:lang w:val="en-US" w:eastAsia="zh-CN"/>
        </w:rPr>
        <w:t>注：可根据实际情况修改</w:t>
      </w:r>
    </w:p>
    <w:p w14:paraId="40EE1C7C"/>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长城仿宋">
    <w:altName w:val="方正仿宋_GBK"/>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5C59">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0FE55068">
                          <w:pPr>
                            <w:pStyle w:val="10"/>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0FE55068">
                    <w:pPr>
                      <w:pStyle w:val="10"/>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EB62729"/>
    <w:multiLevelType w:val="multilevel"/>
    <w:tmpl w:val="1EB62729"/>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default"/>
        <w:sz w:val="24"/>
        <w:szCs w:val="24"/>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2">
    <w:nsid w:val="1FDB580B"/>
    <w:multiLevelType w:val="multilevel"/>
    <w:tmpl w:val="1FDB580B"/>
    <w:lvl w:ilvl="0" w:tentative="0">
      <w:start w:val="1"/>
      <w:numFmt w:val="bullet"/>
      <w:lvlText w:val=""/>
      <w:lvlJc w:val="left"/>
      <w:pPr>
        <w:ind w:left="1044" w:hanging="440"/>
      </w:pPr>
      <w:rPr>
        <w:rFonts w:hint="default" w:ascii="Wingdings" w:hAnsi="Wingdings"/>
      </w:rPr>
    </w:lvl>
    <w:lvl w:ilvl="1" w:tentative="0">
      <w:start w:val="1"/>
      <w:numFmt w:val="bullet"/>
      <w:lvlText w:val=""/>
      <w:lvlJc w:val="left"/>
      <w:pPr>
        <w:ind w:left="1484" w:hanging="440"/>
      </w:pPr>
      <w:rPr>
        <w:rFonts w:hint="default" w:ascii="Wingdings" w:hAnsi="Wingdings"/>
      </w:rPr>
    </w:lvl>
    <w:lvl w:ilvl="2" w:tentative="0">
      <w:start w:val="1"/>
      <w:numFmt w:val="bullet"/>
      <w:lvlText w:val=""/>
      <w:lvlJc w:val="left"/>
      <w:pPr>
        <w:ind w:left="1924" w:hanging="440"/>
      </w:pPr>
      <w:rPr>
        <w:rFonts w:hint="default" w:ascii="Wingdings" w:hAnsi="Wingdings"/>
      </w:rPr>
    </w:lvl>
    <w:lvl w:ilvl="3" w:tentative="0">
      <w:start w:val="1"/>
      <w:numFmt w:val="bullet"/>
      <w:lvlText w:val=""/>
      <w:lvlJc w:val="left"/>
      <w:pPr>
        <w:ind w:left="2364" w:hanging="440"/>
      </w:pPr>
      <w:rPr>
        <w:rFonts w:hint="default" w:ascii="Wingdings" w:hAnsi="Wingdings"/>
      </w:rPr>
    </w:lvl>
    <w:lvl w:ilvl="4" w:tentative="0">
      <w:start w:val="1"/>
      <w:numFmt w:val="bullet"/>
      <w:lvlText w:val=""/>
      <w:lvlJc w:val="left"/>
      <w:pPr>
        <w:ind w:left="2804" w:hanging="440"/>
      </w:pPr>
      <w:rPr>
        <w:rFonts w:hint="default" w:ascii="Wingdings" w:hAnsi="Wingdings"/>
      </w:rPr>
    </w:lvl>
    <w:lvl w:ilvl="5" w:tentative="0">
      <w:start w:val="1"/>
      <w:numFmt w:val="bullet"/>
      <w:lvlText w:val=""/>
      <w:lvlJc w:val="left"/>
      <w:pPr>
        <w:ind w:left="3244" w:hanging="440"/>
      </w:pPr>
      <w:rPr>
        <w:rFonts w:hint="default" w:ascii="Wingdings" w:hAnsi="Wingdings"/>
      </w:rPr>
    </w:lvl>
    <w:lvl w:ilvl="6" w:tentative="0">
      <w:start w:val="1"/>
      <w:numFmt w:val="bullet"/>
      <w:lvlText w:val=""/>
      <w:lvlJc w:val="left"/>
      <w:pPr>
        <w:ind w:left="3684" w:hanging="440"/>
      </w:pPr>
      <w:rPr>
        <w:rFonts w:hint="default" w:ascii="Wingdings" w:hAnsi="Wingdings"/>
      </w:rPr>
    </w:lvl>
    <w:lvl w:ilvl="7" w:tentative="0">
      <w:start w:val="1"/>
      <w:numFmt w:val="bullet"/>
      <w:lvlText w:val=""/>
      <w:lvlJc w:val="left"/>
      <w:pPr>
        <w:ind w:left="4124" w:hanging="440"/>
      </w:pPr>
      <w:rPr>
        <w:rFonts w:hint="default" w:ascii="Wingdings" w:hAnsi="Wingdings"/>
      </w:rPr>
    </w:lvl>
    <w:lvl w:ilvl="8" w:tentative="0">
      <w:start w:val="1"/>
      <w:numFmt w:val="bullet"/>
      <w:lvlText w:val=""/>
      <w:lvlJc w:val="left"/>
      <w:pPr>
        <w:ind w:left="4564" w:hanging="440"/>
      </w:pPr>
      <w:rPr>
        <w:rFonts w:hint="default" w:ascii="Wingdings" w:hAnsi="Wingdings"/>
      </w:rPr>
    </w:lvl>
  </w:abstractNum>
  <w:abstractNum w:abstractNumId="3">
    <w:nsid w:val="2EEA7C99"/>
    <w:multiLevelType w:val="multilevel"/>
    <w:tmpl w:val="2EEA7C99"/>
    <w:lvl w:ilvl="0" w:tentative="0">
      <w:start w:val="1"/>
      <w:numFmt w:val="decimal"/>
      <w:lvlText w:val="%1"/>
      <w:lvlJc w:val="center"/>
      <w:pPr>
        <w:ind w:left="704" w:hanging="420"/>
      </w:pPr>
      <w:rPr>
        <w:rFonts w:hint="eastAsia"/>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38231D7"/>
    <w:multiLevelType w:val="multilevel"/>
    <w:tmpl w:val="338231D7"/>
    <w:lvl w:ilvl="0" w:tentative="0">
      <w:start w:val="1"/>
      <w:numFmt w:val="decimal"/>
      <w:lvlText w:val="1.%1 "/>
      <w:lvlJc w:val="left"/>
      <w:pPr>
        <w:ind w:left="506" w:hanging="420"/>
      </w:pPr>
      <w:rPr>
        <w:rFonts w:hint="eastAsia" w:ascii="仿宋" w:hAnsi="仿宋" w:eastAsia="仿宋"/>
        <w:b w:val="0"/>
        <w:strike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32A4116"/>
    <w:multiLevelType w:val="singleLevel"/>
    <w:tmpl w:val="532A4116"/>
    <w:lvl w:ilvl="0" w:tentative="0">
      <w:start w:val="1"/>
      <w:numFmt w:val="decimal"/>
      <w:lvlText w:val="(%1)"/>
      <w:lvlJc w:val="left"/>
      <w:pPr>
        <w:ind w:left="425" w:hanging="425"/>
      </w:pPr>
      <w:rPr>
        <w:rFonts w:hint="default" w:ascii="仿宋" w:hAnsi="仿宋" w:eastAsia="仿宋" w:cs="仿宋"/>
        <w:sz w:val="24"/>
        <w:szCs w:val="24"/>
      </w:rPr>
    </w:lvl>
  </w:abstractNum>
  <w:abstractNum w:abstractNumId="6">
    <w:nsid w:val="567E725F"/>
    <w:multiLevelType w:val="multilevel"/>
    <w:tmpl w:val="567E725F"/>
    <w:lvl w:ilvl="0" w:tentative="0">
      <w:start w:val="1"/>
      <w:numFmt w:val="decimal"/>
      <w:lvlText w:val="3.%1"/>
      <w:lvlJc w:val="left"/>
      <w:pPr>
        <w:ind w:left="526" w:hanging="440"/>
      </w:pPr>
      <w:rPr>
        <w:rFonts w:hint="eastAsia" w:ascii="宋体" w:hAnsi="宋体" w:eastAsia="宋体"/>
        <w:b w:val="0"/>
        <w:i w:val="0"/>
        <w:sz w:val="24"/>
        <w:szCs w:val="24"/>
      </w:rPr>
    </w:lvl>
    <w:lvl w:ilvl="1" w:tentative="0">
      <w:start w:val="1"/>
      <w:numFmt w:val="lowerLetter"/>
      <w:lvlText w:val="%2)"/>
      <w:lvlJc w:val="left"/>
      <w:pPr>
        <w:ind w:left="966" w:hanging="440"/>
      </w:pPr>
    </w:lvl>
    <w:lvl w:ilvl="2" w:tentative="0">
      <w:start w:val="1"/>
      <w:numFmt w:val="lowerRoman"/>
      <w:lvlText w:val="%3."/>
      <w:lvlJc w:val="right"/>
      <w:pPr>
        <w:ind w:left="1406" w:hanging="440"/>
      </w:pPr>
    </w:lvl>
    <w:lvl w:ilvl="3" w:tentative="0">
      <w:start w:val="1"/>
      <w:numFmt w:val="decimal"/>
      <w:lvlText w:val="%4."/>
      <w:lvlJc w:val="left"/>
      <w:pPr>
        <w:ind w:left="1846" w:hanging="440"/>
      </w:pPr>
    </w:lvl>
    <w:lvl w:ilvl="4" w:tentative="0">
      <w:start w:val="1"/>
      <w:numFmt w:val="lowerLetter"/>
      <w:lvlText w:val="%5)"/>
      <w:lvlJc w:val="left"/>
      <w:pPr>
        <w:ind w:left="2286" w:hanging="440"/>
      </w:pPr>
    </w:lvl>
    <w:lvl w:ilvl="5" w:tentative="0">
      <w:start w:val="1"/>
      <w:numFmt w:val="lowerRoman"/>
      <w:lvlText w:val="%6."/>
      <w:lvlJc w:val="right"/>
      <w:pPr>
        <w:ind w:left="2726" w:hanging="440"/>
      </w:pPr>
    </w:lvl>
    <w:lvl w:ilvl="6" w:tentative="0">
      <w:start w:val="1"/>
      <w:numFmt w:val="decimal"/>
      <w:lvlText w:val="%7."/>
      <w:lvlJc w:val="left"/>
      <w:pPr>
        <w:ind w:left="3166" w:hanging="440"/>
      </w:pPr>
    </w:lvl>
    <w:lvl w:ilvl="7" w:tentative="0">
      <w:start w:val="1"/>
      <w:numFmt w:val="lowerLetter"/>
      <w:lvlText w:val="%8)"/>
      <w:lvlJc w:val="left"/>
      <w:pPr>
        <w:ind w:left="3606" w:hanging="440"/>
      </w:pPr>
    </w:lvl>
    <w:lvl w:ilvl="8" w:tentative="0">
      <w:start w:val="1"/>
      <w:numFmt w:val="lowerRoman"/>
      <w:lvlText w:val="%9."/>
      <w:lvlJc w:val="right"/>
      <w:pPr>
        <w:ind w:left="4046" w:hanging="440"/>
      </w:pPr>
    </w:lvl>
  </w:abstractNum>
  <w:abstractNum w:abstractNumId="7">
    <w:nsid w:val="5B01ADC1"/>
    <w:multiLevelType w:val="singleLevel"/>
    <w:tmpl w:val="5B01ADC1"/>
    <w:lvl w:ilvl="0" w:tentative="0">
      <w:start w:val="1"/>
      <w:numFmt w:val="decimal"/>
      <w:lvlText w:val="(%1)"/>
      <w:lvlJc w:val="left"/>
      <w:pPr>
        <w:ind w:left="425" w:hanging="425"/>
      </w:pPr>
      <w:rPr>
        <w:rFonts w:hint="default" w:ascii="仿宋" w:hAnsi="仿宋" w:eastAsia="仿宋" w:cs="仿宋"/>
        <w:sz w:val="24"/>
        <w:szCs w:val="24"/>
      </w:rPr>
    </w:lvl>
  </w:abstractNum>
  <w:abstractNum w:abstractNumId="8">
    <w:nsid w:val="66111CA5"/>
    <w:multiLevelType w:val="singleLevel"/>
    <w:tmpl w:val="66111CA5"/>
    <w:lvl w:ilvl="0" w:tentative="0">
      <w:start w:val="1"/>
      <w:numFmt w:val="chineseCounting"/>
      <w:suff w:val="nothing"/>
      <w:lvlText w:val="（%1）"/>
      <w:lvlJc w:val="left"/>
      <w:pPr>
        <w:ind w:left="-641"/>
      </w:pPr>
      <w:rPr>
        <w:rFonts w:hint="eastAsia"/>
      </w:rPr>
    </w:lvl>
  </w:abstractNum>
  <w:abstractNum w:abstractNumId="9">
    <w:nsid w:val="7B8205C2"/>
    <w:multiLevelType w:val="multilevel"/>
    <w:tmpl w:val="7B8205C2"/>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default"/>
        <w:sz w:val="24"/>
        <w:szCs w:val="24"/>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0">
    <w:nsid w:val="7FE8324B"/>
    <w:multiLevelType w:val="multilevel"/>
    <w:tmpl w:val="7FE8324B"/>
    <w:lvl w:ilvl="0" w:tentative="0">
      <w:start w:val="1"/>
      <w:numFmt w:val="decimal"/>
      <w:lvlText w:val="2.%1"/>
      <w:lvlJc w:val="left"/>
      <w:pPr>
        <w:ind w:left="526" w:hanging="440"/>
      </w:pPr>
      <w:rPr>
        <w:rFonts w:hint="eastAsia"/>
      </w:rPr>
    </w:lvl>
    <w:lvl w:ilvl="1" w:tentative="0">
      <w:start w:val="1"/>
      <w:numFmt w:val="lowerLetter"/>
      <w:lvlText w:val="%2)"/>
      <w:lvlJc w:val="left"/>
      <w:pPr>
        <w:ind w:left="966" w:hanging="440"/>
      </w:pPr>
    </w:lvl>
    <w:lvl w:ilvl="2" w:tentative="0">
      <w:start w:val="1"/>
      <w:numFmt w:val="lowerRoman"/>
      <w:lvlText w:val="%3."/>
      <w:lvlJc w:val="right"/>
      <w:pPr>
        <w:ind w:left="1406" w:hanging="440"/>
      </w:pPr>
    </w:lvl>
    <w:lvl w:ilvl="3" w:tentative="0">
      <w:start w:val="1"/>
      <w:numFmt w:val="decimal"/>
      <w:lvlText w:val="%4."/>
      <w:lvlJc w:val="left"/>
      <w:pPr>
        <w:ind w:left="1846" w:hanging="440"/>
      </w:pPr>
    </w:lvl>
    <w:lvl w:ilvl="4" w:tentative="0">
      <w:start w:val="1"/>
      <w:numFmt w:val="lowerLetter"/>
      <w:lvlText w:val="%5)"/>
      <w:lvlJc w:val="left"/>
      <w:pPr>
        <w:ind w:left="2286" w:hanging="440"/>
      </w:pPr>
    </w:lvl>
    <w:lvl w:ilvl="5" w:tentative="0">
      <w:start w:val="1"/>
      <w:numFmt w:val="lowerRoman"/>
      <w:lvlText w:val="%6."/>
      <w:lvlJc w:val="right"/>
      <w:pPr>
        <w:ind w:left="2726" w:hanging="440"/>
      </w:pPr>
    </w:lvl>
    <w:lvl w:ilvl="6" w:tentative="0">
      <w:start w:val="1"/>
      <w:numFmt w:val="decimal"/>
      <w:lvlText w:val="%7."/>
      <w:lvlJc w:val="left"/>
      <w:pPr>
        <w:ind w:left="3166" w:hanging="440"/>
      </w:pPr>
    </w:lvl>
    <w:lvl w:ilvl="7" w:tentative="0">
      <w:start w:val="1"/>
      <w:numFmt w:val="lowerLetter"/>
      <w:lvlText w:val="%8)"/>
      <w:lvlJc w:val="left"/>
      <w:pPr>
        <w:ind w:left="3606" w:hanging="440"/>
      </w:pPr>
    </w:lvl>
    <w:lvl w:ilvl="8" w:tentative="0">
      <w:start w:val="1"/>
      <w:numFmt w:val="lowerRoman"/>
      <w:lvlText w:val="%9."/>
      <w:lvlJc w:val="right"/>
      <w:pPr>
        <w:ind w:left="4046" w:hanging="440"/>
      </w:pPr>
    </w:lvl>
  </w:abstractNum>
  <w:num w:numId="1">
    <w:abstractNumId w:val="0"/>
  </w:num>
  <w:num w:numId="2">
    <w:abstractNumId w:val="8"/>
  </w:num>
  <w:num w:numId="3">
    <w:abstractNumId w:val="7"/>
  </w:num>
  <w:num w:numId="4">
    <w:abstractNumId w:val="1"/>
  </w:num>
  <w:num w:numId="5">
    <w:abstractNumId w:val="9"/>
  </w:num>
  <w:num w:numId="6">
    <w:abstractNumId w:val="3"/>
  </w:num>
  <w:num w:numId="7">
    <w:abstractNumId w:val="4"/>
  </w:num>
  <w:num w:numId="8">
    <w:abstractNumId w:val="10"/>
  </w:num>
  <w:num w:numId="9">
    <w:abstractNumId w:val="6"/>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BkMzNhMDIyYzJjMTMzMTk4ZWY5YzdjNTVmZjMxNWIifQ=="/>
  </w:docVars>
  <w:rsids>
    <w:rsidRoot w:val="7DF965E5"/>
    <w:rsid w:val="033C544E"/>
    <w:rsid w:val="03C60BD3"/>
    <w:rsid w:val="050541FC"/>
    <w:rsid w:val="066A1827"/>
    <w:rsid w:val="070752C8"/>
    <w:rsid w:val="081906D7"/>
    <w:rsid w:val="0B2823DD"/>
    <w:rsid w:val="0B541A65"/>
    <w:rsid w:val="0C1C1816"/>
    <w:rsid w:val="0DE173BA"/>
    <w:rsid w:val="0DE85E53"/>
    <w:rsid w:val="0ED57E1D"/>
    <w:rsid w:val="0F136F00"/>
    <w:rsid w:val="10853E2D"/>
    <w:rsid w:val="11791DC9"/>
    <w:rsid w:val="122356AC"/>
    <w:rsid w:val="122946DB"/>
    <w:rsid w:val="12DD6230"/>
    <w:rsid w:val="16D74CB7"/>
    <w:rsid w:val="1B2D6578"/>
    <w:rsid w:val="1D002390"/>
    <w:rsid w:val="1E114F52"/>
    <w:rsid w:val="223B5AAA"/>
    <w:rsid w:val="231F3C6E"/>
    <w:rsid w:val="24863878"/>
    <w:rsid w:val="2A691C72"/>
    <w:rsid w:val="340E0074"/>
    <w:rsid w:val="354D409E"/>
    <w:rsid w:val="367B5207"/>
    <w:rsid w:val="36FD4B25"/>
    <w:rsid w:val="37AA47E1"/>
    <w:rsid w:val="3D0221DE"/>
    <w:rsid w:val="3DA96970"/>
    <w:rsid w:val="3DB37034"/>
    <w:rsid w:val="3F64271E"/>
    <w:rsid w:val="3FB6605C"/>
    <w:rsid w:val="40055B41"/>
    <w:rsid w:val="40447C4E"/>
    <w:rsid w:val="40DC4AF4"/>
    <w:rsid w:val="410858E9"/>
    <w:rsid w:val="45E47AE8"/>
    <w:rsid w:val="47AB7721"/>
    <w:rsid w:val="482079BF"/>
    <w:rsid w:val="48A97EF5"/>
    <w:rsid w:val="48F9073D"/>
    <w:rsid w:val="497D499A"/>
    <w:rsid w:val="4A851D59"/>
    <w:rsid w:val="4BBB054F"/>
    <w:rsid w:val="4E8A2033"/>
    <w:rsid w:val="541C3BC8"/>
    <w:rsid w:val="55E53FF3"/>
    <w:rsid w:val="57236B81"/>
    <w:rsid w:val="58CF3F50"/>
    <w:rsid w:val="5A074538"/>
    <w:rsid w:val="5E2D421F"/>
    <w:rsid w:val="656211BC"/>
    <w:rsid w:val="67902011"/>
    <w:rsid w:val="68D67EF7"/>
    <w:rsid w:val="68F02638"/>
    <w:rsid w:val="691B497C"/>
    <w:rsid w:val="69E76A3B"/>
    <w:rsid w:val="6FE50A20"/>
    <w:rsid w:val="70AE175A"/>
    <w:rsid w:val="7238752D"/>
    <w:rsid w:val="74F3598D"/>
    <w:rsid w:val="764A3CD3"/>
    <w:rsid w:val="76BD26F7"/>
    <w:rsid w:val="777C610E"/>
    <w:rsid w:val="7DF9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5"/>
    <w:unhideWhenUsed/>
    <w:qFormat/>
    <w:uiPriority w:val="9"/>
    <w:pPr>
      <w:adjustRightInd w:val="0"/>
      <w:spacing w:before="160" w:after="160" w:line="560" w:lineRule="exact"/>
      <w:ind w:firstLine="200" w:firstLineChars="200"/>
      <w:outlineLvl w:val="2"/>
    </w:pPr>
    <w:rPr>
      <w:rFonts w:eastAsia="楷体"/>
      <w:bCs/>
      <w:szCs w:val="32"/>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5">
    <w:name w:val="文档正文"/>
    <w:basedOn w:val="1"/>
    <w:autoRedefine/>
    <w:qFormat/>
    <w:uiPriority w:val="0"/>
    <w:pPr>
      <w:ind w:firstLine="567"/>
    </w:pPr>
    <w:rPr>
      <w:rFonts w:ascii="长城仿宋" w:hAnsi="Times New Roman" w:eastAsia="长城仿宋" w:cs="Times New Roman"/>
      <w:sz w:val="28"/>
      <w:szCs w:val="20"/>
    </w:rPr>
  </w:style>
  <w:style w:type="paragraph" w:styleId="7">
    <w:name w:val="annotation text"/>
    <w:basedOn w:val="1"/>
    <w:unhideWhenUsed/>
    <w:qFormat/>
    <w:uiPriority w:val="0"/>
    <w:pPr>
      <w:jc w:val="left"/>
    </w:pPr>
  </w:style>
  <w:style w:type="paragraph" w:styleId="8">
    <w:name w:val="Body Text"/>
    <w:basedOn w:val="1"/>
    <w:next w:val="9"/>
    <w:qFormat/>
    <w:uiPriority w:val="99"/>
    <w:pPr>
      <w:spacing w:after="120"/>
    </w:pPr>
    <w:rPr>
      <w:snapToGrid/>
      <w:kern w:val="2"/>
    </w:rPr>
  </w:style>
  <w:style w:type="paragraph" w:styleId="9">
    <w:name w:val="Body Text First Indent"/>
    <w:basedOn w:val="8"/>
    <w:qFormat/>
    <w:uiPriority w:val="0"/>
    <w:pPr>
      <w:autoSpaceDE w:val="0"/>
      <w:autoSpaceDN w:val="0"/>
      <w:adjustRightInd w:val="0"/>
      <w:ind w:firstLine="420" w:firstLineChars="100"/>
      <w:jc w:val="left"/>
    </w:pPr>
    <w:rPr>
      <w:rFonts w:ascii="仿宋_GB2312"/>
      <w:b/>
      <w:kern w:val="0"/>
      <w:sz w:val="32"/>
      <w:szCs w:val="32"/>
    </w:rPr>
  </w:style>
  <w:style w:type="paragraph" w:styleId="10">
    <w:name w:val="footer"/>
    <w:basedOn w:val="1"/>
    <w:qFormat/>
    <w:uiPriority w:val="99"/>
    <w:pPr>
      <w:tabs>
        <w:tab w:val="center" w:pos="4153"/>
        <w:tab w:val="right" w:pos="8306"/>
      </w:tabs>
      <w:snapToGrid w:val="0"/>
      <w:jc w:val="left"/>
    </w:pPr>
    <w:rPr>
      <w:snapToGrid/>
      <w:kern w:val="2"/>
      <w:sz w:val="18"/>
      <w:szCs w:val="18"/>
    </w:rPr>
  </w:style>
  <w:style w:type="paragraph" w:styleId="1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5897</Words>
  <Characters>6135</Characters>
  <Lines>0</Lines>
  <Paragraphs>0</Paragraphs>
  <TotalTime>2</TotalTime>
  <ScaleCrop>false</ScaleCrop>
  <LinksUpToDate>false</LinksUpToDate>
  <CharactersWithSpaces>6236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2025-06-04T00:05:00Z</dcterms:created>
  <dc:creator>Paul Fu</dc:creator>
  <cp:lastModifiedBy>杨谨菲</cp:lastModifiedBy>
  <dcterms:modified xsi:type="dcterms:W3CDTF">2026-06-24T00:59:53Z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A30760681BAA47E5A1AAA477FA77912C_13</vt:lpwstr>
  </property>
  <property fmtid="{D5CDD505-2E9C-101B-9397-08002B2CF9AE}" pid="4" name="KSOTemplateDocerSaveRecord">
    <vt:lpwstr>eyJoZGlkIjoiYjlhNDc1NmQ5MmY3Yjk4ZWFhOGMzY2MzZmNmMzhkZWQiLCJ1c2VySWQiOiIxNDUxNzkzODQ3In0=</vt:lpwstr>
  </property>
  <property fmtid="{D5CDD505-2E9C-101B-9397-08002B2CF9AE}" pid="5" name="5B77E7CEEC58BC6AFAE8886BEB80DBEB">
    <vt:lpwstr>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</vt:lpwstr>
  </property>
</Properties>
</file>