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1"/>
        </w:numPr>
        <w:bidi w:val="0"/>
        <w:rPr>
          <w:rFonts w:hint="default"/>
          <w:lang w:val="en-US" w:eastAsia="zh-CN"/>
        </w:rPr>
      </w:pPr>
      <w:r>
        <w:rPr>
          <w:rFonts w:hint="eastAsia"/>
          <w:lang w:val="en-US" w:eastAsia="zh-CN"/>
        </w:rPr>
        <w:t>产品概述</w:t>
      </w:r>
    </w:p>
    <w:tbl>
      <w:tblPr>
        <w:tblStyle w:val="4"/>
        <w:tblW w:w="9799"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1501"/>
        <w:gridCol w:w="3531"/>
        <w:gridCol w:w="1589"/>
        <w:gridCol w:w="1589"/>
        <w:gridCol w:w="1589"/>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1501" w:type="dxa"/>
            <w:tcBorders>
              <w:bottom w:val="single" w:color="000000" w:sz="4" w:space="0"/>
              <w:right w:val="single" w:color="000000" w:sz="4" w:space="0"/>
            </w:tcBorders>
            <w:noWrap w:val="0"/>
            <w:vAlign w:val="center"/>
          </w:tcPr>
          <w:p>
            <w:pPr>
              <w:widowControl/>
              <w:ind w:firstLine="0" w:firstLineChars="0"/>
              <w:jc w:val="center"/>
              <w:textAlignment w:val="bottom"/>
              <w:rPr>
                <w:rFonts w:hint="eastAsia" w:ascii="宋体" w:hAnsi="宋体" w:eastAsia="宋体" w:cs="宋体"/>
                <w:b/>
                <w:bCs/>
                <w:color w:val="000000"/>
                <w:kern w:val="0"/>
                <w:sz w:val="22"/>
                <w:lang w:val="en-US" w:eastAsia="zh-CN" w:bidi="ar"/>
              </w:rPr>
            </w:pPr>
            <w:r>
              <w:rPr>
                <w:rFonts w:hint="eastAsia" w:ascii="宋体" w:hAnsi="宋体" w:eastAsia="宋体" w:cs="宋体"/>
                <w:b/>
                <w:bCs/>
                <w:color w:val="000000"/>
                <w:kern w:val="0"/>
                <w:sz w:val="22"/>
                <w:lang w:val="en-US" w:eastAsia="zh-CN" w:bidi="ar"/>
              </w:rPr>
              <w:t>序号</w:t>
            </w:r>
          </w:p>
        </w:tc>
        <w:tc>
          <w:tcPr>
            <w:tcW w:w="3531" w:type="dxa"/>
            <w:tcBorders>
              <w:left w:val="single" w:color="000000" w:sz="4" w:space="0"/>
              <w:bottom w:val="single" w:color="000000" w:sz="4" w:space="0"/>
              <w:right w:val="single" w:color="000000" w:sz="4" w:space="0"/>
            </w:tcBorders>
            <w:noWrap w:val="0"/>
            <w:vAlign w:val="center"/>
          </w:tcPr>
          <w:p>
            <w:pPr>
              <w:widowControl/>
              <w:ind w:firstLine="0" w:firstLineChars="0"/>
              <w:jc w:val="center"/>
              <w:textAlignment w:val="center"/>
              <w:rPr>
                <w:rFonts w:hint="default" w:ascii="Arial" w:hAnsi="Arial" w:eastAsia="宋体" w:cs="Arial"/>
                <w:b/>
                <w:bCs/>
                <w:color w:val="000000"/>
                <w:kern w:val="0"/>
                <w:sz w:val="18"/>
                <w:szCs w:val="18"/>
                <w:lang w:val="en-US" w:eastAsia="zh-CN" w:bidi="ar"/>
              </w:rPr>
            </w:pPr>
            <w:r>
              <w:rPr>
                <w:rFonts w:hint="eastAsia" w:ascii="Arial" w:hAnsi="Arial" w:eastAsia="宋体" w:cs="Arial"/>
                <w:b/>
                <w:bCs/>
                <w:color w:val="000000"/>
                <w:kern w:val="0"/>
                <w:sz w:val="18"/>
                <w:szCs w:val="18"/>
                <w:lang w:val="en-US" w:eastAsia="zh-CN" w:bidi="ar"/>
              </w:rPr>
              <w:t>产品设备</w:t>
            </w:r>
          </w:p>
        </w:tc>
        <w:tc>
          <w:tcPr>
            <w:tcW w:w="1589" w:type="dxa"/>
            <w:tcBorders>
              <w:left w:val="single" w:color="000000" w:sz="4" w:space="0"/>
              <w:bottom w:val="single" w:color="000000" w:sz="4" w:space="0"/>
              <w:right w:val="single" w:color="000000" w:sz="4" w:space="0"/>
            </w:tcBorders>
            <w:noWrap w:val="0"/>
            <w:vAlign w:val="center"/>
          </w:tcPr>
          <w:p>
            <w:pPr>
              <w:widowControl/>
              <w:ind w:firstLine="0" w:firstLineChars="0"/>
              <w:jc w:val="center"/>
              <w:textAlignment w:val="center"/>
              <w:rPr>
                <w:rFonts w:hint="default" w:ascii="Arial" w:hAnsi="Arial" w:eastAsia="宋体" w:cs="Arial"/>
                <w:b/>
                <w:bCs/>
                <w:color w:val="000000"/>
                <w:kern w:val="0"/>
                <w:sz w:val="18"/>
                <w:szCs w:val="18"/>
                <w:lang w:val="en-US" w:eastAsia="zh-CN" w:bidi="ar"/>
              </w:rPr>
            </w:pPr>
            <w:r>
              <w:rPr>
                <w:rFonts w:hint="eastAsia" w:ascii="Arial" w:hAnsi="Arial" w:eastAsia="宋体" w:cs="Arial"/>
                <w:b/>
                <w:bCs/>
                <w:color w:val="000000"/>
                <w:kern w:val="0"/>
                <w:sz w:val="18"/>
                <w:szCs w:val="18"/>
                <w:lang w:val="en-US" w:eastAsia="zh-CN" w:bidi="ar"/>
              </w:rPr>
              <w:t>数量</w:t>
            </w:r>
          </w:p>
        </w:tc>
        <w:tc>
          <w:tcPr>
            <w:tcW w:w="1589" w:type="dxa"/>
            <w:tcBorders>
              <w:left w:val="single" w:color="000000" w:sz="4" w:space="0"/>
              <w:bottom w:val="single" w:color="000000" w:sz="4" w:space="0"/>
              <w:right w:val="single" w:color="000000" w:sz="4" w:space="0"/>
            </w:tcBorders>
            <w:noWrap w:val="0"/>
            <w:vAlign w:val="center"/>
          </w:tcPr>
          <w:p>
            <w:pPr>
              <w:widowControl/>
              <w:ind w:firstLine="0" w:firstLineChars="0"/>
              <w:jc w:val="center"/>
              <w:textAlignment w:val="center"/>
              <w:rPr>
                <w:rFonts w:hint="default" w:ascii="Arial" w:hAnsi="Arial" w:eastAsia="宋体" w:cs="Arial"/>
                <w:b/>
                <w:bCs/>
                <w:color w:val="000000"/>
                <w:kern w:val="0"/>
                <w:sz w:val="18"/>
                <w:szCs w:val="18"/>
                <w:lang w:val="en-US" w:eastAsia="zh-CN" w:bidi="ar"/>
              </w:rPr>
            </w:pPr>
            <w:r>
              <w:rPr>
                <w:rFonts w:hint="eastAsia" w:ascii="Arial" w:hAnsi="Arial" w:eastAsia="宋体" w:cs="Arial"/>
                <w:b/>
                <w:bCs/>
                <w:color w:val="000000"/>
                <w:kern w:val="0"/>
                <w:sz w:val="18"/>
                <w:szCs w:val="18"/>
                <w:lang w:val="en-US" w:eastAsia="zh-CN" w:bidi="ar"/>
              </w:rPr>
              <w:t>单位</w:t>
            </w:r>
          </w:p>
        </w:tc>
        <w:tc>
          <w:tcPr>
            <w:tcW w:w="1589" w:type="dxa"/>
            <w:tcBorders>
              <w:left w:val="single" w:color="000000" w:sz="4" w:space="0"/>
              <w:bottom w:val="single" w:color="000000" w:sz="4" w:space="0"/>
            </w:tcBorders>
            <w:noWrap w:val="0"/>
            <w:vAlign w:val="center"/>
          </w:tcPr>
          <w:p>
            <w:pPr>
              <w:widowControl/>
              <w:ind w:firstLine="0" w:firstLineChars="0"/>
              <w:jc w:val="center"/>
              <w:textAlignment w:val="center"/>
              <w:rPr>
                <w:rFonts w:hint="eastAsia" w:ascii="Arial" w:hAnsi="Arial" w:eastAsia="宋体" w:cs="Arial"/>
                <w:b/>
                <w:bCs/>
                <w:color w:val="000000"/>
                <w:kern w:val="0"/>
                <w:sz w:val="18"/>
                <w:szCs w:val="18"/>
                <w:lang w:val="en-US" w:eastAsia="zh-CN" w:bidi="ar"/>
              </w:rPr>
            </w:pPr>
            <w:r>
              <w:rPr>
                <w:rFonts w:hint="eastAsia" w:ascii="Arial" w:hAnsi="Arial" w:eastAsia="宋体" w:cs="Arial"/>
                <w:b/>
                <w:bCs/>
                <w:color w:val="000000"/>
                <w:kern w:val="0"/>
                <w:sz w:val="18"/>
                <w:szCs w:val="18"/>
                <w:lang w:val="en-US" w:eastAsia="zh-CN" w:bidi="ar"/>
              </w:rPr>
              <w:t>备注</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1501" w:type="dxa"/>
            <w:tcBorders>
              <w:top w:val="single" w:color="000000" w:sz="4" w:space="0"/>
              <w:bottom w:val="single" w:color="000000" w:sz="4" w:space="0"/>
              <w:right w:val="single" w:color="000000" w:sz="4" w:space="0"/>
            </w:tcBorders>
            <w:noWrap w:val="0"/>
            <w:vAlign w:val="center"/>
          </w:tcPr>
          <w:p>
            <w:pPr>
              <w:widowControl/>
              <w:ind w:firstLine="0" w:firstLineChars="0"/>
              <w:jc w:val="center"/>
              <w:textAlignment w:val="bottom"/>
              <w:rPr>
                <w:rFonts w:ascii="宋体" w:hAnsi="宋体" w:eastAsia="宋体" w:cs="宋体"/>
                <w:color w:val="000000"/>
                <w:sz w:val="22"/>
              </w:rPr>
            </w:pPr>
            <w:r>
              <w:rPr>
                <w:rFonts w:hint="eastAsia" w:ascii="宋体" w:hAnsi="宋体" w:eastAsia="宋体" w:cs="宋体"/>
                <w:color w:val="000000"/>
                <w:kern w:val="0"/>
                <w:sz w:val="22"/>
                <w:lang w:bidi="ar"/>
              </w:rPr>
              <w:t>1</w:t>
            </w:r>
          </w:p>
        </w:tc>
        <w:tc>
          <w:tcPr>
            <w:tcW w:w="3531"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jc w:val="center"/>
              <w:textAlignment w:val="center"/>
              <w:rPr>
                <w:rFonts w:ascii="Arial" w:hAnsi="Arial" w:eastAsia="宋体" w:cs="Arial"/>
                <w:color w:val="000000"/>
                <w:sz w:val="18"/>
                <w:szCs w:val="18"/>
              </w:rPr>
            </w:pPr>
            <w:r>
              <w:rPr>
                <w:rFonts w:ascii="Arial" w:hAnsi="Arial" w:eastAsia="宋体" w:cs="Arial"/>
                <w:color w:val="000000"/>
                <w:kern w:val="0"/>
                <w:sz w:val="18"/>
                <w:szCs w:val="18"/>
                <w:lang w:bidi="ar"/>
              </w:rPr>
              <w:t>桌面服务器</w:t>
            </w:r>
          </w:p>
        </w:tc>
        <w:tc>
          <w:tcPr>
            <w:tcW w:w="1589" w:type="dxa"/>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center"/>
              <w:textAlignment w:val="center"/>
              <w:rPr>
                <w:rFonts w:hint="eastAsia" w:ascii="Arial" w:hAnsi="Arial" w:eastAsia="宋体" w:cs="Arial"/>
                <w:color w:val="000000"/>
                <w:kern w:val="0"/>
                <w:sz w:val="18"/>
                <w:szCs w:val="18"/>
                <w:lang w:eastAsia="zh-CN" w:bidi="ar"/>
              </w:rPr>
            </w:pPr>
            <w:r>
              <w:rPr>
                <w:rFonts w:hint="eastAsia" w:ascii="Arial" w:hAnsi="Arial" w:eastAsia="宋体" w:cs="Arial"/>
                <w:color w:val="000000"/>
                <w:kern w:val="0"/>
                <w:sz w:val="18"/>
                <w:szCs w:val="18"/>
                <w:highlight w:val="none"/>
                <w:lang w:val="en-US" w:eastAsia="zh-CN" w:bidi="ar"/>
              </w:rPr>
              <w:t>4</w:t>
            </w:r>
          </w:p>
        </w:tc>
        <w:tc>
          <w:tcPr>
            <w:tcW w:w="1589"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jc w:val="center"/>
              <w:textAlignment w:val="center"/>
              <w:rPr>
                <w:rFonts w:hint="eastAsia" w:ascii="Arial" w:hAnsi="Arial" w:eastAsia="宋体" w:cs="Arial"/>
                <w:color w:val="000000"/>
                <w:kern w:val="0"/>
                <w:sz w:val="18"/>
                <w:szCs w:val="18"/>
                <w:lang w:val="en-US" w:eastAsia="zh-CN" w:bidi="ar"/>
              </w:rPr>
            </w:pPr>
            <w:r>
              <w:rPr>
                <w:rFonts w:hint="eastAsia" w:ascii="Arial" w:hAnsi="Arial" w:eastAsia="宋体" w:cs="Arial"/>
                <w:color w:val="000000"/>
                <w:kern w:val="0"/>
                <w:sz w:val="18"/>
                <w:szCs w:val="18"/>
                <w:lang w:val="en-US" w:eastAsia="zh-CN" w:bidi="ar"/>
              </w:rPr>
              <w:t>台</w:t>
            </w:r>
          </w:p>
        </w:tc>
        <w:tc>
          <w:tcPr>
            <w:tcW w:w="1589" w:type="dxa"/>
            <w:tcBorders>
              <w:top w:val="single" w:color="000000" w:sz="4" w:space="0"/>
              <w:left w:val="single" w:color="000000" w:sz="4" w:space="0"/>
              <w:bottom w:val="single" w:color="000000" w:sz="4" w:space="0"/>
            </w:tcBorders>
            <w:noWrap w:val="0"/>
            <w:vAlign w:val="center"/>
          </w:tcPr>
          <w:p>
            <w:pPr>
              <w:widowControl/>
              <w:ind w:firstLine="0" w:firstLineChars="0"/>
              <w:jc w:val="center"/>
              <w:textAlignment w:val="center"/>
              <w:rPr>
                <w:rFonts w:ascii="Arial" w:hAnsi="Arial" w:eastAsia="宋体" w:cs="Arial"/>
                <w:color w:val="000000"/>
                <w:kern w:val="0"/>
                <w:sz w:val="18"/>
                <w:szCs w:val="18"/>
                <w:lang w:bidi="ar"/>
              </w:rPr>
            </w:pP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1501" w:type="dxa"/>
            <w:tcBorders>
              <w:top w:val="single" w:color="000000" w:sz="4" w:space="0"/>
              <w:bottom w:val="single" w:color="000000" w:sz="4" w:space="0"/>
              <w:right w:val="single" w:color="000000" w:sz="4" w:space="0"/>
            </w:tcBorders>
            <w:noWrap w:val="0"/>
            <w:vAlign w:val="center"/>
          </w:tcPr>
          <w:p>
            <w:pPr>
              <w:widowControl/>
              <w:ind w:firstLine="0" w:firstLineChars="0"/>
              <w:jc w:val="center"/>
              <w:textAlignment w:val="bottom"/>
              <w:rPr>
                <w:rFonts w:ascii="宋体" w:hAnsi="宋体" w:eastAsia="宋体" w:cs="宋体"/>
                <w:color w:val="000000"/>
                <w:sz w:val="22"/>
              </w:rPr>
            </w:pPr>
            <w:r>
              <w:rPr>
                <w:rFonts w:hint="eastAsia" w:ascii="宋体" w:hAnsi="宋体" w:eastAsia="宋体" w:cs="宋体"/>
                <w:color w:val="000000"/>
                <w:kern w:val="0"/>
                <w:sz w:val="22"/>
                <w:lang w:bidi="ar"/>
              </w:rPr>
              <w:t>2</w:t>
            </w:r>
          </w:p>
        </w:tc>
        <w:tc>
          <w:tcPr>
            <w:tcW w:w="3531"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jc w:val="center"/>
              <w:textAlignment w:val="center"/>
              <w:rPr>
                <w:rFonts w:hint="eastAsia" w:ascii="Arial" w:hAnsi="Arial" w:eastAsia="宋体" w:cs="Arial"/>
                <w:color w:val="000000"/>
                <w:sz w:val="18"/>
                <w:szCs w:val="18"/>
                <w:lang w:val="en-US" w:eastAsia="zh-CN"/>
              </w:rPr>
            </w:pPr>
            <w:r>
              <w:rPr>
                <w:rFonts w:hint="eastAsia" w:ascii="宋体" w:hAnsi="宋体" w:eastAsia="宋体" w:cs="宋体"/>
                <w:color w:val="000000"/>
                <w:kern w:val="0"/>
                <w:sz w:val="18"/>
                <w:szCs w:val="18"/>
                <w:lang w:bidi="ar"/>
              </w:rPr>
              <w:t>云桌面客户端</w:t>
            </w:r>
            <w:r>
              <w:rPr>
                <w:rFonts w:hint="eastAsia" w:ascii="宋体" w:hAnsi="宋体" w:eastAsia="宋体" w:cs="宋体"/>
                <w:color w:val="000000"/>
                <w:kern w:val="0"/>
                <w:sz w:val="18"/>
                <w:szCs w:val="18"/>
                <w:lang w:val="en-US" w:eastAsia="zh-CN" w:bidi="ar"/>
              </w:rPr>
              <w:t>授权</w:t>
            </w:r>
          </w:p>
        </w:tc>
        <w:tc>
          <w:tcPr>
            <w:tcW w:w="1589" w:type="dxa"/>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center"/>
              <w:textAlignment w:val="center"/>
              <w:rPr>
                <w:rFonts w:ascii="Arial" w:hAnsi="Arial" w:eastAsia="宋体" w:cs="Arial"/>
                <w:color w:val="000000"/>
                <w:kern w:val="0"/>
                <w:sz w:val="18"/>
                <w:szCs w:val="18"/>
                <w:lang w:bidi="ar"/>
              </w:rPr>
            </w:pPr>
            <w:r>
              <w:rPr>
                <w:rFonts w:ascii="Arial" w:hAnsi="Arial" w:eastAsia="宋体" w:cs="Arial"/>
                <w:color w:val="000000"/>
                <w:kern w:val="0"/>
                <w:sz w:val="18"/>
                <w:szCs w:val="18"/>
                <w:lang w:bidi="ar"/>
              </w:rPr>
              <w:t>150</w:t>
            </w:r>
          </w:p>
        </w:tc>
        <w:tc>
          <w:tcPr>
            <w:tcW w:w="1589"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jc w:val="center"/>
              <w:textAlignment w:val="center"/>
              <w:rPr>
                <w:rFonts w:ascii="Arial" w:hAnsi="Arial" w:eastAsia="宋体" w:cs="Arial"/>
                <w:color w:val="000000"/>
                <w:kern w:val="0"/>
                <w:sz w:val="18"/>
                <w:szCs w:val="18"/>
                <w:lang w:bidi="ar"/>
              </w:rPr>
            </w:pPr>
            <w:r>
              <w:rPr>
                <w:rFonts w:hint="eastAsia" w:ascii="Arial" w:hAnsi="Arial" w:eastAsia="宋体" w:cs="Arial"/>
                <w:color w:val="000000"/>
                <w:kern w:val="0"/>
                <w:sz w:val="18"/>
                <w:szCs w:val="18"/>
                <w:lang w:val="en-US" w:eastAsia="zh-CN" w:bidi="ar"/>
              </w:rPr>
              <w:t>点</w:t>
            </w:r>
          </w:p>
        </w:tc>
        <w:tc>
          <w:tcPr>
            <w:tcW w:w="1589" w:type="dxa"/>
            <w:tcBorders>
              <w:top w:val="single" w:color="000000" w:sz="4" w:space="0"/>
              <w:left w:val="single" w:color="000000" w:sz="4" w:space="0"/>
              <w:bottom w:val="single" w:color="000000" w:sz="4" w:space="0"/>
            </w:tcBorders>
            <w:noWrap w:val="0"/>
            <w:vAlign w:val="center"/>
          </w:tcPr>
          <w:p>
            <w:pPr>
              <w:widowControl/>
              <w:ind w:firstLine="0" w:firstLineChars="0"/>
              <w:jc w:val="center"/>
              <w:textAlignment w:val="center"/>
              <w:rPr>
                <w:rFonts w:ascii="Arial" w:hAnsi="Arial" w:eastAsia="宋体" w:cs="Arial"/>
                <w:color w:val="000000"/>
                <w:kern w:val="0"/>
                <w:sz w:val="18"/>
                <w:szCs w:val="18"/>
                <w:lang w:bidi="ar"/>
              </w:rPr>
            </w:pP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1501" w:type="dxa"/>
            <w:tcBorders>
              <w:top w:val="single" w:color="000000" w:sz="4" w:space="0"/>
              <w:bottom w:val="single" w:color="000000" w:sz="4" w:space="0"/>
              <w:right w:val="single" w:color="000000" w:sz="4" w:space="0"/>
            </w:tcBorders>
            <w:noWrap w:val="0"/>
            <w:vAlign w:val="center"/>
          </w:tcPr>
          <w:p>
            <w:pPr>
              <w:widowControl/>
              <w:ind w:firstLine="0" w:firstLineChars="0"/>
              <w:jc w:val="center"/>
              <w:textAlignment w:val="bottom"/>
              <w:rPr>
                <w:rFonts w:ascii="宋体" w:hAnsi="宋体" w:eastAsia="宋体" w:cs="宋体"/>
                <w:color w:val="000000"/>
                <w:sz w:val="22"/>
              </w:rPr>
            </w:pPr>
            <w:r>
              <w:rPr>
                <w:rFonts w:hint="eastAsia" w:ascii="宋体" w:hAnsi="宋体" w:eastAsia="宋体" w:cs="宋体"/>
                <w:color w:val="000000"/>
                <w:kern w:val="0"/>
                <w:sz w:val="22"/>
                <w:lang w:bidi="ar"/>
              </w:rPr>
              <w:t>3</w:t>
            </w:r>
          </w:p>
        </w:tc>
        <w:tc>
          <w:tcPr>
            <w:tcW w:w="3531"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jc w:val="center"/>
              <w:textAlignment w:val="center"/>
              <w:rPr>
                <w:rFonts w:ascii="Arial" w:hAnsi="Arial" w:eastAsia="宋体" w:cs="Arial"/>
                <w:color w:val="000000"/>
                <w:sz w:val="18"/>
                <w:szCs w:val="18"/>
                <w:highlight w:val="yellow"/>
              </w:rPr>
            </w:pPr>
            <w:r>
              <w:rPr>
                <w:rFonts w:ascii="Arial" w:hAnsi="Arial" w:eastAsia="宋体" w:cs="Arial"/>
                <w:color w:val="000000"/>
                <w:kern w:val="0"/>
                <w:sz w:val="18"/>
                <w:szCs w:val="18"/>
                <w:highlight w:val="yellow"/>
                <w:lang w:bidi="ar"/>
              </w:rPr>
              <w:t>外网访问网关</w:t>
            </w:r>
          </w:p>
        </w:tc>
        <w:tc>
          <w:tcPr>
            <w:tcW w:w="1589" w:type="dxa"/>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center"/>
              <w:textAlignment w:val="center"/>
              <w:rPr>
                <w:rFonts w:ascii="Arial" w:hAnsi="Arial" w:eastAsia="宋体" w:cs="Arial"/>
                <w:color w:val="000000"/>
                <w:kern w:val="0"/>
                <w:sz w:val="18"/>
                <w:szCs w:val="18"/>
                <w:highlight w:val="yellow"/>
                <w:lang w:bidi="ar"/>
              </w:rPr>
            </w:pPr>
            <w:r>
              <w:rPr>
                <w:rFonts w:ascii="Arial" w:hAnsi="Arial" w:eastAsia="宋体" w:cs="Arial"/>
                <w:color w:val="000000"/>
                <w:kern w:val="0"/>
                <w:sz w:val="18"/>
                <w:szCs w:val="18"/>
                <w:highlight w:val="yellow"/>
                <w:lang w:bidi="ar"/>
              </w:rPr>
              <w:t>1</w:t>
            </w:r>
          </w:p>
        </w:tc>
        <w:tc>
          <w:tcPr>
            <w:tcW w:w="1589"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jc w:val="center"/>
              <w:textAlignment w:val="center"/>
              <w:rPr>
                <w:rFonts w:hint="eastAsia" w:ascii="Arial" w:hAnsi="Arial" w:eastAsia="宋体" w:cs="Arial"/>
                <w:color w:val="000000"/>
                <w:kern w:val="0"/>
                <w:sz w:val="18"/>
                <w:szCs w:val="18"/>
                <w:highlight w:val="yellow"/>
                <w:lang w:val="en-US" w:eastAsia="zh-CN" w:bidi="ar"/>
              </w:rPr>
            </w:pPr>
            <w:r>
              <w:rPr>
                <w:rFonts w:hint="eastAsia" w:ascii="Arial" w:hAnsi="Arial" w:eastAsia="宋体" w:cs="Arial"/>
                <w:color w:val="000000"/>
                <w:kern w:val="0"/>
                <w:sz w:val="18"/>
                <w:szCs w:val="18"/>
                <w:highlight w:val="yellow"/>
                <w:lang w:val="en-US" w:eastAsia="zh-CN" w:bidi="ar"/>
              </w:rPr>
              <w:t>台</w:t>
            </w:r>
          </w:p>
        </w:tc>
        <w:tc>
          <w:tcPr>
            <w:tcW w:w="1589" w:type="dxa"/>
            <w:tcBorders>
              <w:top w:val="single" w:color="000000" w:sz="4" w:space="0"/>
              <w:left w:val="single" w:color="000000" w:sz="4" w:space="0"/>
              <w:bottom w:val="single" w:color="000000" w:sz="4" w:space="0"/>
            </w:tcBorders>
            <w:noWrap w:val="0"/>
            <w:vAlign w:val="center"/>
          </w:tcPr>
          <w:p>
            <w:pPr>
              <w:widowControl/>
              <w:ind w:firstLine="0" w:firstLineChars="0"/>
              <w:jc w:val="center"/>
              <w:textAlignment w:val="center"/>
              <w:rPr>
                <w:rFonts w:ascii="Arial" w:hAnsi="Arial" w:eastAsia="宋体" w:cs="Arial"/>
                <w:color w:val="000000"/>
                <w:kern w:val="0"/>
                <w:sz w:val="18"/>
                <w:szCs w:val="18"/>
                <w:lang w:bidi="ar"/>
              </w:rPr>
            </w:pP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1501" w:type="dxa"/>
            <w:tcBorders>
              <w:top w:val="single" w:color="000000" w:sz="4" w:space="0"/>
              <w:bottom w:val="single" w:color="000000" w:sz="4" w:space="0"/>
              <w:right w:val="single" w:color="000000" w:sz="4" w:space="0"/>
            </w:tcBorders>
            <w:noWrap w:val="0"/>
            <w:vAlign w:val="center"/>
          </w:tcPr>
          <w:p>
            <w:pPr>
              <w:widowControl/>
              <w:ind w:firstLine="0" w:firstLineChars="0"/>
              <w:jc w:val="center"/>
              <w:textAlignment w:val="bottom"/>
              <w:rPr>
                <w:rFonts w:ascii="宋体" w:hAnsi="宋体" w:eastAsia="宋体" w:cs="宋体"/>
                <w:color w:val="000000"/>
                <w:sz w:val="22"/>
              </w:rPr>
            </w:pPr>
            <w:r>
              <w:rPr>
                <w:rFonts w:hint="eastAsia" w:ascii="宋体" w:hAnsi="宋体" w:eastAsia="宋体" w:cs="宋体"/>
                <w:color w:val="000000"/>
                <w:kern w:val="0"/>
                <w:sz w:val="22"/>
                <w:lang w:bidi="ar"/>
              </w:rPr>
              <w:t>4</w:t>
            </w:r>
          </w:p>
        </w:tc>
        <w:tc>
          <w:tcPr>
            <w:tcW w:w="3531"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jc w:val="center"/>
              <w:textAlignment w:val="center"/>
              <w:rPr>
                <w:rFonts w:ascii="Arial" w:hAnsi="Arial" w:eastAsia="宋体" w:cs="Arial"/>
                <w:color w:val="000000"/>
                <w:sz w:val="18"/>
                <w:szCs w:val="18"/>
                <w:highlight w:val="yellow"/>
              </w:rPr>
            </w:pPr>
            <w:r>
              <w:rPr>
                <w:rFonts w:ascii="Arial" w:hAnsi="Arial" w:eastAsia="宋体" w:cs="Arial"/>
                <w:color w:val="000000"/>
                <w:kern w:val="0"/>
                <w:sz w:val="18"/>
                <w:szCs w:val="18"/>
                <w:highlight w:val="yellow"/>
                <w:lang w:bidi="ar"/>
              </w:rPr>
              <w:t>汇聚层交换机</w:t>
            </w:r>
          </w:p>
        </w:tc>
        <w:tc>
          <w:tcPr>
            <w:tcW w:w="1589" w:type="dxa"/>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center"/>
              <w:textAlignment w:val="center"/>
              <w:rPr>
                <w:rFonts w:ascii="Arial" w:hAnsi="Arial" w:eastAsia="宋体" w:cs="Arial"/>
                <w:color w:val="000000"/>
                <w:kern w:val="0"/>
                <w:sz w:val="18"/>
                <w:szCs w:val="18"/>
                <w:highlight w:val="yellow"/>
                <w:lang w:bidi="ar"/>
              </w:rPr>
            </w:pPr>
            <w:r>
              <w:rPr>
                <w:rFonts w:ascii="Arial" w:hAnsi="Arial" w:eastAsia="宋体" w:cs="Arial"/>
                <w:color w:val="000000"/>
                <w:kern w:val="0"/>
                <w:sz w:val="18"/>
                <w:szCs w:val="18"/>
                <w:highlight w:val="yellow"/>
                <w:lang w:bidi="ar"/>
              </w:rPr>
              <w:t>1</w:t>
            </w:r>
          </w:p>
        </w:tc>
        <w:tc>
          <w:tcPr>
            <w:tcW w:w="1589"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jc w:val="center"/>
              <w:textAlignment w:val="center"/>
              <w:rPr>
                <w:rFonts w:ascii="Arial" w:hAnsi="Arial" w:eastAsia="宋体" w:cs="Arial"/>
                <w:color w:val="000000"/>
                <w:kern w:val="0"/>
                <w:sz w:val="18"/>
                <w:szCs w:val="18"/>
                <w:highlight w:val="yellow"/>
                <w:lang w:bidi="ar"/>
              </w:rPr>
            </w:pPr>
            <w:r>
              <w:rPr>
                <w:rFonts w:hint="eastAsia" w:ascii="Arial" w:hAnsi="Arial" w:eastAsia="宋体" w:cs="Arial"/>
                <w:color w:val="000000"/>
                <w:kern w:val="0"/>
                <w:sz w:val="18"/>
                <w:szCs w:val="18"/>
                <w:highlight w:val="yellow"/>
                <w:lang w:val="en-US" w:eastAsia="zh-CN" w:bidi="ar"/>
              </w:rPr>
              <w:t>台</w:t>
            </w:r>
          </w:p>
        </w:tc>
        <w:tc>
          <w:tcPr>
            <w:tcW w:w="1589" w:type="dxa"/>
            <w:tcBorders>
              <w:top w:val="single" w:color="000000" w:sz="4" w:space="0"/>
              <w:left w:val="single" w:color="000000" w:sz="4" w:space="0"/>
              <w:bottom w:val="single" w:color="000000" w:sz="4" w:space="0"/>
            </w:tcBorders>
            <w:noWrap w:val="0"/>
            <w:vAlign w:val="center"/>
          </w:tcPr>
          <w:p>
            <w:pPr>
              <w:widowControl/>
              <w:ind w:firstLine="0" w:firstLineChars="0"/>
              <w:jc w:val="center"/>
              <w:textAlignment w:val="center"/>
              <w:rPr>
                <w:rFonts w:ascii="Arial" w:hAnsi="Arial" w:eastAsia="宋体" w:cs="Arial"/>
                <w:color w:val="000000"/>
                <w:kern w:val="0"/>
                <w:sz w:val="18"/>
                <w:szCs w:val="18"/>
                <w:lang w:bidi="ar"/>
              </w:rPr>
            </w:pP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1501" w:type="dxa"/>
            <w:tcBorders>
              <w:top w:val="single" w:color="000000" w:sz="4" w:space="0"/>
              <w:bottom w:val="single" w:color="000000" w:sz="4" w:space="0"/>
              <w:right w:val="single" w:color="000000" w:sz="4" w:space="0"/>
            </w:tcBorders>
            <w:noWrap w:val="0"/>
            <w:vAlign w:val="center"/>
          </w:tcPr>
          <w:p>
            <w:pPr>
              <w:widowControl/>
              <w:ind w:firstLine="0" w:firstLineChars="0"/>
              <w:jc w:val="center"/>
              <w:textAlignment w:val="bottom"/>
              <w:rPr>
                <w:rFonts w:ascii="宋体" w:hAnsi="宋体" w:eastAsia="宋体" w:cs="宋体"/>
                <w:color w:val="000000"/>
                <w:sz w:val="22"/>
              </w:rPr>
            </w:pPr>
            <w:r>
              <w:rPr>
                <w:rFonts w:hint="eastAsia" w:ascii="宋体" w:hAnsi="宋体" w:eastAsia="宋体" w:cs="宋体"/>
                <w:color w:val="000000"/>
                <w:kern w:val="0"/>
                <w:sz w:val="22"/>
                <w:lang w:bidi="ar"/>
              </w:rPr>
              <w:t>5</w:t>
            </w:r>
          </w:p>
        </w:tc>
        <w:tc>
          <w:tcPr>
            <w:tcW w:w="3531"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jc w:val="center"/>
              <w:textAlignment w:val="center"/>
              <w:rPr>
                <w:rFonts w:ascii="Arial" w:hAnsi="Arial" w:eastAsia="宋体" w:cs="Arial"/>
                <w:color w:val="000000"/>
                <w:sz w:val="18"/>
                <w:szCs w:val="18"/>
                <w:highlight w:val="yellow"/>
              </w:rPr>
            </w:pPr>
            <w:r>
              <w:rPr>
                <w:rFonts w:ascii="Arial" w:hAnsi="Arial" w:eastAsia="宋体" w:cs="Arial"/>
                <w:color w:val="000000"/>
                <w:kern w:val="0"/>
                <w:sz w:val="18"/>
                <w:szCs w:val="18"/>
                <w:highlight w:val="yellow"/>
                <w:lang w:bidi="ar"/>
              </w:rPr>
              <w:t>分布层交换机</w:t>
            </w:r>
          </w:p>
        </w:tc>
        <w:tc>
          <w:tcPr>
            <w:tcW w:w="1589" w:type="dxa"/>
            <w:tcBorders>
              <w:top w:val="single" w:color="000000" w:sz="4" w:space="0"/>
              <w:left w:val="single" w:color="000000" w:sz="4" w:space="0"/>
              <w:bottom w:val="single" w:color="000000" w:sz="4" w:space="0"/>
              <w:right w:val="single" w:color="000000" w:sz="4" w:space="0"/>
            </w:tcBorders>
            <w:noWrap w:val="0"/>
            <w:vAlign w:val="center"/>
          </w:tcPr>
          <w:p>
            <w:pPr>
              <w:widowControl/>
              <w:ind w:left="0" w:leftChars="0" w:firstLine="0" w:firstLineChars="0"/>
              <w:jc w:val="center"/>
              <w:textAlignment w:val="center"/>
              <w:rPr>
                <w:rFonts w:ascii="Arial" w:hAnsi="Arial" w:eastAsia="宋体" w:cs="Arial"/>
                <w:color w:val="000000"/>
                <w:kern w:val="0"/>
                <w:sz w:val="18"/>
                <w:szCs w:val="18"/>
                <w:highlight w:val="yellow"/>
                <w:lang w:bidi="ar"/>
              </w:rPr>
            </w:pPr>
            <w:r>
              <w:rPr>
                <w:rFonts w:ascii="Arial" w:hAnsi="Arial" w:eastAsia="宋体" w:cs="Arial"/>
                <w:color w:val="000000"/>
                <w:kern w:val="0"/>
                <w:sz w:val="18"/>
                <w:szCs w:val="18"/>
                <w:highlight w:val="yellow"/>
                <w:lang w:bidi="ar"/>
              </w:rPr>
              <w:t>7</w:t>
            </w:r>
          </w:p>
        </w:tc>
        <w:tc>
          <w:tcPr>
            <w:tcW w:w="1589" w:type="dxa"/>
            <w:tcBorders>
              <w:top w:val="single" w:color="000000" w:sz="4" w:space="0"/>
              <w:left w:val="single" w:color="000000" w:sz="4" w:space="0"/>
              <w:bottom w:val="single" w:color="000000" w:sz="4" w:space="0"/>
              <w:right w:val="single" w:color="000000" w:sz="4" w:space="0"/>
            </w:tcBorders>
            <w:noWrap w:val="0"/>
            <w:vAlign w:val="center"/>
          </w:tcPr>
          <w:p>
            <w:pPr>
              <w:widowControl/>
              <w:ind w:firstLine="0" w:firstLineChars="0"/>
              <w:jc w:val="center"/>
              <w:textAlignment w:val="center"/>
              <w:rPr>
                <w:rFonts w:ascii="Arial" w:hAnsi="Arial" w:eastAsia="宋体" w:cs="Arial"/>
                <w:color w:val="000000"/>
                <w:kern w:val="0"/>
                <w:sz w:val="18"/>
                <w:szCs w:val="18"/>
                <w:highlight w:val="yellow"/>
                <w:lang w:bidi="ar"/>
              </w:rPr>
            </w:pPr>
            <w:r>
              <w:rPr>
                <w:rFonts w:hint="eastAsia" w:ascii="Arial" w:hAnsi="Arial" w:eastAsia="宋体" w:cs="Arial"/>
                <w:color w:val="000000"/>
                <w:kern w:val="0"/>
                <w:sz w:val="18"/>
                <w:szCs w:val="18"/>
                <w:highlight w:val="yellow"/>
                <w:lang w:val="en-US" w:eastAsia="zh-CN" w:bidi="ar"/>
              </w:rPr>
              <w:t>台</w:t>
            </w:r>
          </w:p>
        </w:tc>
        <w:tc>
          <w:tcPr>
            <w:tcW w:w="1589" w:type="dxa"/>
            <w:tcBorders>
              <w:top w:val="single" w:color="000000" w:sz="4" w:space="0"/>
              <w:left w:val="single" w:color="000000" w:sz="4" w:space="0"/>
              <w:bottom w:val="single" w:color="000000" w:sz="4" w:space="0"/>
            </w:tcBorders>
            <w:noWrap w:val="0"/>
            <w:vAlign w:val="center"/>
          </w:tcPr>
          <w:p>
            <w:pPr>
              <w:widowControl/>
              <w:ind w:firstLine="0" w:firstLineChars="0"/>
              <w:jc w:val="center"/>
              <w:textAlignment w:val="center"/>
              <w:rPr>
                <w:rFonts w:ascii="Arial" w:hAnsi="Arial" w:eastAsia="宋体" w:cs="Arial"/>
                <w:color w:val="000000"/>
                <w:kern w:val="0"/>
                <w:sz w:val="18"/>
                <w:szCs w:val="18"/>
                <w:lang w:bidi="ar"/>
              </w:rPr>
            </w:pP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1501" w:type="dxa"/>
            <w:tcBorders>
              <w:top w:val="single" w:color="000000" w:sz="4" w:space="0"/>
              <w:right w:val="single" w:color="000000" w:sz="4" w:space="0"/>
            </w:tcBorders>
            <w:noWrap w:val="0"/>
            <w:vAlign w:val="center"/>
          </w:tcPr>
          <w:p>
            <w:pPr>
              <w:widowControl/>
              <w:ind w:firstLine="0" w:firstLineChars="0"/>
              <w:jc w:val="center"/>
              <w:textAlignment w:val="bottom"/>
              <w:rPr>
                <w:rFonts w:ascii="宋体" w:hAnsi="宋体" w:eastAsia="宋体" w:cs="宋体"/>
                <w:color w:val="000000"/>
                <w:sz w:val="22"/>
              </w:rPr>
            </w:pPr>
            <w:r>
              <w:rPr>
                <w:rFonts w:hint="eastAsia" w:ascii="宋体" w:hAnsi="宋体" w:eastAsia="宋体" w:cs="宋体"/>
                <w:color w:val="000000"/>
                <w:kern w:val="0"/>
                <w:sz w:val="22"/>
                <w:lang w:bidi="ar"/>
              </w:rPr>
              <w:t>6</w:t>
            </w:r>
          </w:p>
        </w:tc>
        <w:tc>
          <w:tcPr>
            <w:tcW w:w="3531" w:type="dxa"/>
            <w:tcBorders>
              <w:top w:val="single" w:color="000000" w:sz="4" w:space="0"/>
              <w:left w:val="single" w:color="000000" w:sz="4" w:space="0"/>
              <w:right w:val="single" w:color="000000" w:sz="4" w:space="0"/>
            </w:tcBorders>
            <w:noWrap w:val="0"/>
            <w:vAlign w:val="center"/>
          </w:tcPr>
          <w:p>
            <w:pPr>
              <w:widowControl/>
              <w:ind w:firstLine="0" w:firstLineChars="0"/>
              <w:jc w:val="center"/>
              <w:textAlignment w:val="center"/>
              <w:rPr>
                <w:rFonts w:ascii="Arial" w:hAnsi="Arial" w:eastAsia="宋体" w:cs="Arial"/>
                <w:color w:val="000000"/>
                <w:sz w:val="18"/>
                <w:szCs w:val="18"/>
              </w:rPr>
            </w:pPr>
            <w:r>
              <w:rPr>
                <w:rFonts w:hint="eastAsia" w:ascii="Arial" w:hAnsi="Arial" w:eastAsia="宋体" w:cs="Arial"/>
                <w:color w:val="000000"/>
                <w:kern w:val="0"/>
                <w:sz w:val="18"/>
                <w:szCs w:val="18"/>
                <w:lang w:val="en-US" w:eastAsia="zh-CN" w:bidi="ar"/>
              </w:rPr>
              <w:t>云</w:t>
            </w:r>
            <w:r>
              <w:rPr>
                <w:rFonts w:ascii="Arial" w:hAnsi="Arial" w:eastAsia="宋体" w:cs="Arial"/>
                <w:color w:val="000000"/>
                <w:kern w:val="0"/>
                <w:sz w:val="18"/>
                <w:szCs w:val="18"/>
                <w:lang w:bidi="ar"/>
              </w:rPr>
              <w:t>终端</w:t>
            </w:r>
          </w:p>
        </w:tc>
        <w:tc>
          <w:tcPr>
            <w:tcW w:w="1589" w:type="dxa"/>
            <w:tcBorders>
              <w:top w:val="single" w:color="000000" w:sz="4" w:space="0"/>
              <w:left w:val="single" w:color="000000" w:sz="4" w:space="0"/>
              <w:right w:val="single" w:color="000000" w:sz="4" w:space="0"/>
            </w:tcBorders>
            <w:noWrap w:val="0"/>
            <w:vAlign w:val="center"/>
          </w:tcPr>
          <w:p>
            <w:pPr>
              <w:widowControl/>
              <w:ind w:left="0" w:leftChars="0" w:firstLine="0" w:firstLineChars="0"/>
              <w:jc w:val="center"/>
              <w:textAlignment w:val="center"/>
              <w:rPr>
                <w:rFonts w:ascii="Arial" w:hAnsi="Arial" w:eastAsia="宋体" w:cs="Arial"/>
                <w:color w:val="000000"/>
                <w:kern w:val="0"/>
                <w:sz w:val="18"/>
                <w:szCs w:val="18"/>
                <w:lang w:bidi="ar"/>
              </w:rPr>
            </w:pPr>
            <w:r>
              <w:rPr>
                <w:rFonts w:ascii="Arial" w:hAnsi="Arial" w:eastAsia="宋体" w:cs="Arial"/>
                <w:color w:val="000000"/>
                <w:kern w:val="0"/>
                <w:sz w:val="18"/>
                <w:szCs w:val="18"/>
                <w:lang w:bidi="ar"/>
              </w:rPr>
              <w:t>11</w:t>
            </w:r>
          </w:p>
        </w:tc>
        <w:tc>
          <w:tcPr>
            <w:tcW w:w="1589" w:type="dxa"/>
            <w:tcBorders>
              <w:top w:val="single" w:color="000000" w:sz="4" w:space="0"/>
              <w:left w:val="single" w:color="000000" w:sz="4" w:space="0"/>
              <w:right w:val="single" w:color="000000" w:sz="4" w:space="0"/>
            </w:tcBorders>
            <w:noWrap w:val="0"/>
            <w:vAlign w:val="center"/>
          </w:tcPr>
          <w:p>
            <w:pPr>
              <w:widowControl/>
              <w:ind w:firstLine="0" w:firstLineChars="0"/>
              <w:jc w:val="center"/>
              <w:textAlignment w:val="center"/>
              <w:rPr>
                <w:rFonts w:ascii="Arial" w:hAnsi="Arial" w:eastAsia="宋体" w:cs="Arial"/>
                <w:color w:val="000000"/>
                <w:kern w:val="0"/>
                <w:sz w:val="18"/>
                <w:szCs w:val="18"/>
                <w:lang w:bidi="ar"/>
              </w:rPr>
            </w:pPr>
            <w:r>
              <w:rPr>
                <w:rFonts w:hint="eastAsia" w:ascii="Arial" w:hAnsi="Arial" w:eastAsia="宋体" w:cs="Arial"/>
                <w:color w:val="000000"/>
                <w:kern w:val="0"/>
                <w:sz w:val="18"/>
                <w:szCs w:val="18"/>
                <w:lang w:val="en-US" w:eastAsia="zh-CN" w:bidi="ar"/>
              </w:rPr>
              <w:t>台</w:t>
            </w:r>
          </w:p>
        </w:tc>
        <w:tc>
          <w:tcPr>
            <w:tcW w:w="1589" w:type="dxa"/>
            <w:tcBorders>
              <w:top w:val="single" w:color="000000" w:sz="4" w:space="0"/>
              <w:left w:val="single" w:color="000000" w:sz="4" w:space="0"/>
            </w:tcBorders>
            <w:noWrap w:val="0"/>
            <w:vAlign w:val="center"/>
          </w:tcPr>
          <w:p>
            <w:pPr>
              <w:widowControl/>
              <w:ind w:firstLine="0" w:firstLineChars="0"/>
              <w:jc w:val="center"/>
              <w:textAlignment w:val="center"/>
              <w:rPr>
                <w:rFonts w:ascii="Arial" w:hAnsi="Arial" w:eastAsia="宋体" w:cs="Arial"/>
                <w:color w:val="000000"/>
                <w:kern w:val="0"/>
                <w:sz w:val="18"/>
                <w:szCs w:val="18"/>
                <w:lang w:bidi="ar"/>
              </w:rPr>
            </w:pPr>
          </w:p>
        </w:tc>
      </w:tr>
    </w:tbl>
    <w:p/>
    <w:p>
      <w:pPr>
        <w:pStyle w:val="3"/>
        <w:numPr>
          <w:ilvl w:val="0"/>
          <w:numId w:val="1"/>
        </w:numPr>
        <w:bidi w:val="0"/>
        <w:rPr>
          <w:rFonts w:hint="default"/>
          <w:b/>
          <w:lang w:val="en-US" w:eastAsia="zh-CN"/>
        </w:rPr>
      </w:pPr>
      <w:r>
        <w:rPr>
          <w:rFonts w:hint="eastAsia"/>
          <w:b/>
          <w:lang w:val="en-US" w:eastAsia="zh-CN"/>
        </w:rPr>
        <w:t>技术参数</w:t>
      </w:r>
    </w:p>
    <w:tbl>
      <w:tblPr>
        <w:tblStyle w:val="4"/>
        <w:tblW w:w="9558" w:type="dxa"/>
        <w:jc w:val="center"/>
        <w:tblLayout w:type="fixed"/>
        <w:tblCellMar>
          <w:top w:w="0" w:type="dxa"/>
          <w:left w:w="108" w:type="dxa"/>
          <w:bottom w:w="0" w:type="dxa"/>
          <w:right w:w="108" w:type="dxa"/>
        </w:tblCellMar>
      </w:tblPr>
      <w:tblGrid>
        <w:gridCol w:w="724"/>
        <w:gridCol w:w="1139"/>
        <w:gridCol w:w="7695"/>
      </w:tblGrid>
      <w:tr>
        <w:tblPrEx>
          <w:tblCellMar>
            <w:top w:w="0" w:type="dxa"/>
            <w:left w:w="108" w:type="dxa"/>
            <w:bottom w:w="0" w:type="dxa"/>
            <w:right w:w="108" w:type="dxa"/>
          </w:tblCellMar>
        </w:tblPrEx>
        <w:trPr>
          <w:trHeight w:val="0" w:hRule="atLeast"/>
          <w:jc w:val="center"/>
        </w:trPr>
        <w:tc>
          <w:tcPr>
            <w:tcW w:w="724" w:type="dxa"/>
            <w:tcBorders>
              <w:top w:val="single" w:color="000000" w:sz="4" w:space="0"/>
              <w:left w:val="single" w:color="000000" w:sz="8" w:space="0"/>
              <w:bottom w:val="single" w:color="000000" w:sz="4" w:space="0"/>
              <w:right w:val="single" w:color="000000" w:sz="4" w:space="0"/>
            </w:tcBorders>
            <w:noWrap w:val="0"/>
            <w:vAlign w:val="center"/>
          </w:tcPr>
          <w:p>
            <w:pPr>
              <w:widowControl/>
              <w:spacing w:line="240" w:lineRule="auto"/>
              <w:ind w:firstLine="0" w:firstLineChars="0"/>
              <w:jc w:val="center"/>
              <w:textAlignment w:val="bottom"/>
              <w:rPr>
                <w:rFonts w:hint="eastAsia" w:ascii="仿宋" w:hAnsi="仿宋" w:eastAsia="仿宋" w:cs="仿宋"/>
                <w:b/>
                <w:bCs/>
                <w:color w:val="000000"/>
                <w:kern w:val="0"/>
                <w:sz w:val="18"/>
                <w:szCs w:val="18"/>
                <w:lang w:val="en-US" w:eastAsia="zh-CN" w:bidi="ar"/>
              </w:rPr>
            </w:pPr>
            <w:r>
              <w:rPr>
                <w:rFonts w:hint="eastAsia" w:ascii="仿宋" w:hAnsi="仿宋" w:eastAsia="仿宋" w:cs="仿宋"/>
                <w:b/>
                <w:bCs/>
                <w:color w:val="000000"/>
                <w:kern w:val="0"/>
                <w:sz w:val="18"/>
                <w:szCs w:val="18"/>
                <w:lang w:val="en-US" w:eastAsia="zh-CN" w:bidi="ar"/>
              </w:rPr>
              <w:t>序号</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仿宋" w:hAnsi="仿宋" w:eastAsia="仿宋" w:cs="仿宋"/>
                <w:b/>
                <w:bCs/>
                <w:color w:val="000000"/>
                <w:kern w:val="0"/>
                <w:sz w:val="18"/>
                <w:szCs w:val="18"/>
                <w:lang w:val="en-US" w:eastAsia="zh-CN" w:bidi="ar"/>
              </w:rPr>
            </w:pPr>
            <w:r>
              <w:rPr>
                <w:rFonts w:hint="eastAsia" w:ascii="仿宋" w:hAnsi="仿宋" w:eastAsia="仿宋" w:cs="仿宋"/>
                <w:b/>
                <w:bCs/>
                <w:color w:val="000000"/>
                <w:kern w:val="0"/>
                <w:sz w:val="18"/>
                <w:szCs w:val="18"/>
                <w:lang w:val="en-US" w:eastAsia="zh-CN" w:bidi="ar"/>
              </w:rPr>
              <w:t>产品设备</w:t>
            </w:r>
          </w:p>
        </w:tc>
        <w:tc>
          <w:tcPr>
            <w:tcW w:w="7695"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仿宋" w:hAnsi="仿宋" w:eastAsia="仿宋" w:cs="仿宋"/>
                <w:b/>
                <w:bCs/>
                <w:color w:val="000000"/>
                <w:kern w:val="0"/>
                <w:sz w:val="18"/>
                <w:szCs w:val="18"/>
                <w:lang w:val="en-US" w:eastAsia="zh-CN" w:bidi="ar"/>
              </w:rPr>
            </w:pPr>
            <w:r>
              <w:rPr>
                <w:rFonts w:hint="eastAsia" w:ascii="仿宋" w:hAnsi="仿宋" w:eastAsia="仿宋" w:cs="仿宋"/>
                <w:b/>
                <w:bCs/>
                <w:color w:val="000000"/>
                <w:kern w:val="0"/>
                <w:sz w:val="18"/>
                <w:szCs w:val="18"/>
                <w:lang w:val="en-US" w:eastAsia="zh-CN" w:bidi="ar"/>
              </w:rPr>
              <w:t>数量</w:t>
            </w:r>
          </w:p>
        </w:tc>
      </w:tr>
      <w:tr>
        <w:tblPrEx>
          <w:tblCellMar>
            <w:top w:w="0" w:type="dxa"/>
            <w:left w:w="108" w:type="dxa"/>
            <w:bottom w:w="0" w:type="dxa"/>
            <w:right w:w="108" w:type="dxa"/>
          </w:tblCellMar>
        </w:tblPrEx>
        <w:trPr>
          <w:trHeight w:val="0" w:hRule="atLeast"/>
          <w:jc w:val="center"/>
        </w:trPr>
        <w:tc>
          <w:tcPr>
            <w:tcW w:w="724" w:type="dxa"/>
            <w:tcBorders>
              <w:top w:val="single" w:color="000000" w:sz="4" w:space="0"/>
              <w:left w:val="single" w:color="000000" w:sz="8" w:space="0"/>
              <w:bottom w:val="single" w:color="000000" w:sz="4" w:space="0"/>
              <w:right w:val="single" w:color="000000" w:sz="4" w:space="0"/>
            </w:tcBorders>
            <w:noWrap w:val="0"/>
            <w:vAlign w:val="center"/>
          </w:tcPr>
          <w:p>
            <w:pPr>
              <w:widowControl/>
              <w:spacing w:line="240" w:lineRule="auto"/>
              <w:ind w:firstLine="0" w:firstLineChars="0"/>
              <w:jc w:val="center"/>
              <w:textAlignment w:val="bottom"/>
              <w:rPr>
                <w:rFonts w:hint="eastAsia" w:ascii="仿宋" w:hAnsi="仿宋" w:eastAsia="仿宋" w:cs="仿宋"/>
                <w:color w:val="000000"/>
                <w:sz w:val="18"/>
                <w:szCs w:val="18"/>
              </w:rPr>
            </w:pPr>
            <w:r>
              <w:rPr>
                <w:rFonts w:hint="eastAsia" w:ascii="仿宋" w:hAnsi="仿宋" w:eastAsia="仿宋" w:cs="仿宋"/>
                <w:color w:val="000000"/>
                <w:kern w:val="0"/>
                <w:sz w:val="18"/>
                <w:szCs w:val="18"/>
                <w:lang w:bidi="ar"/>
              </w:rPr>
              <w:t>1</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仿宋" w:hAnsi="仿宋" w:eastAsia="仿宋" w:cs="仿宋"/>
                <w:color w:val="000000"/>
                <w:sz w:val="18"/>
                <w:szCs w:val="18"/>
              </w:rPr>
            </w:pPr>
            <w:r>
              <w:rPr>
                <w:rFonts w:hint="eastAsia" w:ascii="仿宋" w:hAnsi="仿宋" w:eastAsia="仿宋" w:cs="仿宋"/>
                <w:color w:val="000000"/>
                <w:kern w:val="0"/>
                <w:sz w:val="18"/>
                <w:szCs w:val="18"/>
                <w:lang w:bidi="ar"/>
              </w:rPr>
              <w:t>桌面服务器</w:t>
            </w:r>
          </w:p>
        </w:tc>
        <w:tc>
          <w:tcPr>
            <w:tcW w:w="7695" w:type="dxa"/>
            <w:tcBorders>
              <w:top w:val="single" w:color="000000" w:sz="4" w:space="0"/>
              <w:left w:val="single" w:color="000000" w:sz="4" w:space="0"/>
              <w:bottom w:val="single" w:color="000000" w:sz="4" w:space="0"/>
              <w:right w:val="single" w:color="000000" w:sz="4" w:space="0"/>
            </w:tcBorders>
            <w:noWrap w:val="0"/>
            <w:vAlign w:val="center"/>
          </w:tcPr>
          <w:p>
            <w:pPr>
              <w:numPr>
                <w:ilvl w:val="0"/>
                <w:numId w:val="2"/>
              </w:numPr>
              <w:spacing w:line="240" w:lineRule="auto"/>
              <w:ind w:left="425" w:leftChars="0" w:hanging="425" w:firstLineChars="0"/>
              <w:jc w:val="left"/>
              <w:rPr>
                <w:rFonts w:hint="eastAsia" w:ascii="仿宋" w:hAnsi="仿宋" w:eastAsia="仿宋" w:cs="仿宋"/>
                <w:sz w:val="18"/>
                <w:szCs w:val="18"/>
              </w:rPr>
            </w:pPr>
            <w:r>
              <w:rPr>
                <w:rFonts w:hint="eastAsia" w:ascii="仿宋" w:hAnsi="仿宋" w:eastAsia="仿宋" w:cs="仿宋"/>
                <w:sz w:val="18"/>
                <w:szCs w:val="18"/>
              </w:rPr>
              <w:t>架构：2U机架式软硬件一体服务器</w:t>
            </w:r>
          </w:p>
          <w:p>
            <w:pPr>
              <w:numPr>
                <w:ilvl w:val="0"/>
                <w:numId w:val="2"/>
              </w:numPr>
              <w:spacing w:line="240" w:lineRule="auto"/>
              <w:ind w:left="425" w:leftChars="0" w:hanging="425" w:firstLineChars="0"/>
              <w:jc w:val="left"/>
              <w:rPr>
                <w:rFonts w:hint="eastAsia" w:ascii="仿宋" w:hAnsi="仿宋" w:eastAsia="仿宋" w:cs="仿宋"/>
                <w:sz w:val="18"/>
                <w:szCs w:val="18"/>
              </w:rPr>
            </w:pPr>
            <w:r>
              <w:rPr>
                <w:rFonts w:hint="eastAsia" w:ascii="仿宋" w:hAnsi="仿宋" w:eastAsia="仿宋" w:cs="仿宋"/>
                <w:sz w:val="18"/>
                <w:szCs w:val="18"/>
              </w:rPr>
              <w:t>处理器：实配≥2颗Intel Xeon Gold 6226R 16核/32线程，2.9GHz主频</w:t>
            </w:r>
          </w:p>
          <w:p>
            <w:pPr>
              <w:numPr>
                <w:ilvl w:val="0"/>
                <w:numId w:val="2"/>
              </w:numPr>
              <w:spacing w:line="240" w:lineRule="auto"/>
              <w:ind w:left="425" w:leftChars="0" w:hanging="425" w:firstLineChars="0"/>
              <w:jc w:val="left"/>
              <w:rPr>
                <w:rFonts w:hint="eastAsia" w:ascii="仿宋" w:hAnsi="仿宋" w:eastAsia="仿宋" w:cs="仿宋"/>
                <w:sz w:val="18"/>
                <w:szCs w:val="18"/>
              </w:rPr>
            </w:pPr>
            <w:r>
              <w:rPr>
                <w:rFonts w:hint="eastAsia" w:ascii="仿宋" w:hAnsi="仿宋" w:eastAsia="仿宋" w:cs="仿宋"/>
                <w:sz w:val="18"/>
                <w:szCs w:val="18"/>
              </w:rPr>
              <w:t>内存：16个DDR4内存插槽,内存频率支持2933MHz，实配≥</w:t>
            </w:r>
            <w:r>
              <w:rPr>
                <w:rFonts w:hint="eastAsia" w:ascii="仿宋" w:hAnsi="仿宋" w:eastAsia="仿宋" w:cs="仿宋"/>
                <w:sz w:val="18"/>
                <w:szCs w:val="18"/>
                <w:lang w:val="en-US" w:eastAsia="zh-CN"/>
              </w:rPr>
              <w:t>320</w:t>
            </w:r>
            <w:r>
              <w:rPr>
                <w:rFonts w:hint="eastAsia" w:ascii="仿宋" w:hAnsi="仿宋" w:eastAsia="仿宋" w:cs="仿宋"/>
                <w:sz w:val="18"/>
                <w:szCs w:val="18"/>
              </w:rPr>
              <w:t>GB DDR4；</w:t>
            </w:r>
          </w:p>
          <w:p>
            <w:pPr>
              <w:numPr>
                <w:ilvl w:val="0"/>
                <w:numId w:val="2"/>
              </w:numPr>
              <w:spacing w:line="240" w:lineRule="auto"/>
              <w:ind w:left="425" w:leftChars="0" w:hanging="425" w:firstLineChars="0"/>
              <w:jc w:val="left"/>
              <w:rPr>
                <w:rFonts w:hint="eastAsia" w:ascii="仿宋" w:hAnsi="仿宋" w:eastAsia="仿宋" w:cs="仿宋"/>
                <w:sz w:val="18"/>
                <w:szCs w:val="18"/>
              </w:rPr>
            </w:pPr>
            <w:r>
              <w:rPr>
                <w:rFonts w:hint="eastAsia" w:ascii="仿宋" w:hAnsi="仿宋" w:eastAsia="仿宋" w:cs="仿宋"/>
                <w:sz w:val="18"/>
                <w:szCs w:val="18"/>
              </w:rPr>
              <w:t>硬盘：默认支持</w:t>
            </w:r>
            <w:r>
              <w:rPr>
                <w:rFonts w:hint="eastAsia" w:ascii="仿宋" w:hAnsi="仿宋" w:eastAsia="仿宋" w:cs="仿宋"/>
                <w:sz w:val="18"/>
                <w:szCs w:val="18"/>
                <w:lang w:val="en-US" w:eastAsia="zh-CN"/>
              </w:rPr>
              <w:t>12</w:t>
            </w:r>
            <w:r>
              <w:rPr>
                <w:rFonts w:hint="eastAsia" w:ascii="仿宋" w:hAnsi="仿宋" w:eastAsia="仿宋" w:cs="仿宋"/>
                <w:sz w:val="18"/>
                <w:szCs w:val="18"/>
              </w:rPr>
              <w:t>个热插拔3.5”/2.5”SATA/SAS/SSD硬盘；实配≥</w:t>
            </w:r>
            <w:r>
              <w:rPr>
                <w:rFonts w:hint="eastAsia" w:ascii="仿宋" w:hAnsi="仿宋" w:eastAsia="仿宋" w:cs="仿宋"/>
                <w:sz w:val="18"/>
                <w:szCs w:val="18"/>
                <w:lang w:val="en-US" w:eastAsia="zh-CN"/>
              </w:rPr>
              <w:t>6</w:t>
            </w:r>
            <w:r>
              <w:rPr>
                <w:rFonts w:hint="eastAsia" w:ascii="仿宋" w:hAnsi="仿宋" w:eastAsia="仿宋" w:cs="仿宋"/>
                <w:sz w:val="18"/>
                <w:szCs w:val="18"/>
              </w:rPr>
              <w:t>块960GB SSD硬盘（SATA），</w:t>
            </w:r>
            <w:r>
              <w:rPr>
                <w:rFonts w:hint="eastAsia" w:ascii="仿宋" w:hAnsi="仿宋" w:eastAsia="仿宋" w:cs="仿宋"/>
                <w:sz w:val="18"/>
                <w:szCs w:val="18"/>
                <w:lang w:val="en-US" w:eastAsia="zh-CN"/>
              </w:rPr>
              <w:t>3</w:t>
            </w:r>
            <w:r>
              <w:rPr>
                <w:rFonts w:hint="eastAsia" w:ascii="仿宋" w:hAnsi="仿宋" w:eastAsia="仿宋" w:cs="仿宋"/>
                <w:sz w:val="18"/>
                <w:szCs w:val="18"/>
              </w:rPr>
              <w:t>块8TB 7.2K转企业级SATA硬盘；</w:t>
            </w:r>
          </w:p>
          <w:p>
            <w:pPr>
              <w:numPr>
                <w:ilvl w:val="0"/>
                <w:numId w:val="2"/>
              </w:numPr>
              <w:spacing w:line="240" w:lineRule="auto"/>
              <w:ind w:left="425" w:leftChars="0" w:hanging="425" w:firstLineChars="0"/>
              <w:jc w:val="left"/>
              <w:rPr>
                <w:rFonts w:hint="eastAsia" w:ascii="仿宋" w:hAnsi="仿宋" w:eastAsia="仿宋" w:cs="仿宋"/>
                <w:sz w:val="18"/>
                <w:szCs w:val="18"/>
              </w:rPr>
            </w:pPr>
            <w:r>
              <w:rPr>
                <w:rFonts w:hint="eastAsia" w:ascii="仿宋" w:hAnsi="仿宋" w:eastAsia="仿宋" w:cs="仿宋"/>
                <w:sz w:val="18"/>
                <w:szCs w:val="18"/>
              </w:rPr>
              <w:t>SAS卡：支持RAID0、1</w:t>
            </w:r>
          </w:p>
          <w:p>
            <w:pPr>
              <w:numPr>
                <w:ilvl w:val="0"/>
                <w:numId w:val="2"/>
              </w:numPr>
              <w:spacing w:line="240" w:lineRule="auto"/>
              <w:ind w:left="425" w:leftChars="0" w:hanging="425" w:firstLineChars="0"/>
              <w:jc w:val="left"/>
              <w:rPr>
                <w:rFonts w:hint="eastAsia" w:ascii="仿宋" w:hAnsi="仿宋" w:eastAsia="仿宋" w:cs="仿宋"/>
                <w:sz w:val="18"/>
                <w:szCs w:val="18"/>
              </w:rPr>
            </w:pPr>
            <w:r>
              <w:rPr>
                <w:rFonts w:hint="eastAsia" w:ascii="仿宋" w:hAnsi="仿宋" w:eastAsia="仿宋" w:cs="仿宋"/>
                <w:sz w:val="18"/>
                <w:szCs w:val="18"/>
              </w:rPr>
              <w:t>网络：</w:t>
            </w:r>
            <w:r>
              <w:rPr>
                <w:rFonts w:hint="eastAsia" w:ascii="仿宋" w:hAnsi="仿宋" w:eastAsia="仿宋" w:cs="仿宋"/>
                <w:sz w:val="18"/>
                <w:szCs w:val="18"/>
                <w:lang w:val="en-US" w:eastAsia="zh-CN"/>
              </w:rPr>
              <w:t>2</w:t>
            </w:r>
            <w:r>
              <w:rPr>
                <w:rFonts w:hint="eastAsia" w:ascii="仿宋" w:hAnsi="仿宋" w:eastAsia="仿宋" w:cs="仿宋"/>
                <w:sz w:val="18"/>
                <w:szCs w:val="18"/>
              </w:rPr>
              <w:t>*1000M</w:t>
            </w:r>
            <w:r>
              <w:rPr>
                <w:rFonts w:hint="eastAsia" w:ascii="仿宋" w:hAnsi="仿宋" w:eastAsia="仿宋" w:cs="仿宋"/>
                <w:sz w:val="18"/>
                <w:szCs w:val="18"/>
                <w:lang w:val="en-US" w:eastAsia="zh-CN"/>
              </w:rPr>
              <w:t>+2*10000M</w:t>
            </w:r>
            <w:r>
              <w:rPr>
                <w:rFonts w:hint="eastAsia" w:ascii="仿宋" w:hAnsi="仿宋" w:eastAsia="仿宋" w:cs="仿宋"/>
                <w:sz w:val="18"/>
                <w:szCs w:val="18"/>
              </w:rPr>
              <w:t>；</w:t>
            </w:r>
          </w:p>
          <w:p>
            <w:pPr>
              <w:numPr>
                <w:ilvl w:val="0"/>
                <w:numId w:val="2"/>
              </w:numPr>
              <w:spacing w:line="240" w:lineRule="auto"/>
              <w:ind w:left="425" w:leftChars="0" w:hanging="425" w:firstLineChars="0"/>
              <w:jc w:val="left"/>
              <w:rPr>
                <w:rFonts w:hint="eastAsia" w:ascii="仿宋" w:hAnsi="仿宋" w:eastAsia="仿宋" w:cs="仿宋"/>
                <w:sz w:val="18"/>
                <w:szCs w:val="18"/>
              </w:rPr>
            </w:pPr>
            <w:r>
              <w:rPr>
                <w:rFonts w:hint="eastAsia" w:ascii="仿宋" w:hAnsi="仿宋" w:eastAsia="仿宋" w:cs="仿宋"/>
                <w:sz w:val="18"/>
                <w:szCs w:val="18"/>
              </w:rPr>
              <w:t>I/O：≥6个PCI-E3.0扩展插槽；</w:t>
            </w:r>
          </w:p>
          <w:p>
            <w:pPr>
              <w:numPr>
                <w:ilvl w:val="0"/>
                <w:numId w:val="2"/>
              </w:numPr>
              <w:spacing w:line="240" w:lineRule="auto"/>
              <w:ind w:left="425" w:leftChars="0" w:hanging="425" w:firstLineChars="0"/>
              <w:jc w:val="left"/>
              <w:rPr>
                <w:rFonts w:hint="eastAsia" w:ascii="仿宋" w:hAnsi="仿宋" w:eastAsia="仿宋" w:cs="仿宋"/>
                <w:sz w:val="18"/>
                <w:szCs w:val="18"/>
              </w:rPr>
            </w:pPr>
            <w:r>
              <w:rPr>
                <w:rFonts w:hint="eastAsia" w:ascii="仿宋" w:hAnsi="仿宋" w:eastAsia="仿宋" w:cs="仿宋"/>
                <w:sz w:val="18"/>
                <w:szCs w:val="18"/>
              </w:rPr>
              <w:t>电源：配置热插拔冗余电源</w:t>
            </w:r>
          </w:p>
          <w:p>
            <w:pPr>
              <w:numPr>
                <w:ilvl w:val="0"/>
                <w:numId w:val="2"/>
              </w:numPr>
              <w:spacing w:line="240" w:lineRule="auto"/>
              <w:ind w:left="425" w:leftChars="0" w:hanging="425" w:firstLineChars="0"/>
              <w:jc w:val="left"/>
              <w:rPr>
                <w:rFonts w:hint="eastAsia" w:ascii="仿宋" w:hAnsi="仿宋" w:eastAsia="仿宋" w:cs="仿宋"/>
                <w:sz w:val="18"/>
                <w:szCs w:val="18"/>
              </w:rPr>
            </w:pPr>
            <w:r>
              <w:rPr>
                <w:rFonts w:hint="eastAsia" w:ascii="仿宋" w:hAnsi="仿宋" w:eastAsia="仿宋" w:cs="仿宋"/>
                <w:sz w:val="18"/>
                <w:szCs w:val="18"/>
              </w:rPr>
              <w:t>支持IPMI2.0，对外提供1个100/1000 Mbps RJ45管理网口，支持远程管理</w:t>
            </w:r>
          </w:p>
          <w:p>
            <w:pPr>
              <w:numPr>
                <w:ilvl w:val="0"/>
                <w:numId w:val="2"/>
              </w:numPr>
              <w:spacing w:line="240" w:lineRule="auto"/>
              <w:ind w:left="425" w:leftChars="0" w:hanging="425" w:firstLineChars="0"/>
              <w:jc w:val="left"/>
              <w:rPr>
                <w:rFonts w:hint="eastAsia" w:ascii="仿宋" w:hAnsi="仿宋" w:eastAsia="仿宋" w:cs="仿宋"/>
                <w:sz w:val="18"/>
                <w:szCs w:val="18"/>
              </w:rPr>
            </w:pPr>
            <w:r>
              <w:rPr>
                <w:rFonts w:hint="eastAsia" w:ascii="仿宋" w:hAnsi="仿宋" w:eastAsia="仿宋" w:cs="仿宋"/>
                <w:sz w:val="18"/>
                <w:szCs w:val="18"/>
              </w:rPr>
              <w:t>平台集成远程维护，可过WEB管理台上的控制台直接进入服务器底层操作系统，实现底层系统编辑和维护；</w:t>
            </w:r>
          </w:p>
          <w:p>
            <w:pPr>
              <w:numPr>
                <w:ilvl w:val="0"/>
                <w:numId w:val="2"/>
              </w:numPr>
              <w:spacing w:line="240" w:lineRule="auto"/>
              <w:ind w:left="425" w:leftChars="0" w:hanging="425" w:firstLineChars="0"/>
              <w:jc w:val="left"/>
              <w:rPr>
                <w:rFonts w:hint="eastAsia" w:ascii="仿宋" w:hAnsi="仿宋" w:eastAsia="仿宋" w:cs="仿宋"/>
                <w:sz w:val="18"/>
                <w:szCs w:val="18"/>
              </w:rPr>
            </w:pPr>
            <w:r>
              <w:rPr>
                <w:rFonts w:hint="eastAsia" w:ascii="仿宋" w:hAnsi="仿宋" w:eastAsia="仿宋" w:cs="仿宋"/>
                <w:sz w:val="18"/>
                <w:szCs w:val="18"/>
              </w:rPr>
              <w:t>为保证系统网络安全性与稳定性，支持多网卡绑定，支持activebackup、broadcast、roundrobin、random、loadbalance等5种常用的bond模式；也可支持管理网络、数据网络、镜像网络分离，将三种网络分别绑定到不同的服务器物理网卡，实现网络分流，上述功能均无需采用命令行操作；（提供功能截图并加盖原厂公章）</w:t>
            </w:r>
          </w:p>
          <w:p>
            <w:pPr>
              <w:numPr>
                <w:ilvl w:val="0"/>
                <w:numId w:val="2"/>
              </w:numPr>
              <w:spacing w:line="240" w:lineRule="auto"/>
              <w:ind w:left="425" w:leftChars="0" w:hanging="425" w:firstLineChars="0"/>
              <w:jc w:val="left"/>
              <w:rPr>
                <w:rFonts w:hint="eastAsia" w:ascii="仿宋" w:hAnsi="仿宋" w:eastAsia="仿宋" w:cs="仿宋"/>
                <w:sz w:val="18"/>
                <w:szCs w:val="18"/>
              </w:rPr>
            </w:pPr>
            <w:r>
              <w:rPr>
                <w:rFonts w:hint="eastAsia" w:ascii="仿宋" w:hAnsi="仿宋" w:eastAsia="仿宋" w:cs="仿宋"/>
                <w:sz w:val="18"/>
                <w:szCs w:val="18"/>
              </w:rPr>
              <w:t>★11、支持在WEB管理平台上直接对服务器SSD硬盘进行性能测试，可获取SSD硬盘16K随机读、顺序写数值，便于管理员定位系统故障；（提供功能截图并加盖原厂公章）</w:t>
            </w:r>
          </w:p>
          <w:p>
            <w:pPr>
              <w:numPr>
                <w:ilvl w:val="0"/>
                <w:numId w:val="2"/>
              </w:numPr>
              <w:spacing w:line="240" w:lineRule="auto"/>
              <w:ind w:left="425" w:leftChars="0" w:hanging="425" w:firstLineChars="0"/>
              <w:jc w:val="left"/>
              <w:rPr>
                <w:rFonts w:hint="eastAsia" w:ascii="仿宋" w:hAnsi="仿宋" w:eastAsia="仿宋" w:cs="仿宋"/>
                <w:sz w:val="18"/>
                <w:szCs w:val="18"/>
              </w:rPr>
            </w:pPr>
            <w:r>
              <w:rPr>
                <w:rFonts w:hint="eastAsia" w:ascii="仿宋" w:hAnsi="仿宋" w:eastAsia="仿宋" w:cs="仿宋"/>
                <w:sz w:val="18"/>
                <w:szCs w:val="18"/>
              </w:rPr>
              <w:t>支持报警功能，用户可以选择主机范围配置报警项，至少包括CPU利用率、内存利用率、磁盘使用空间、桌面运行时间、授权时间5项内容，可设置报警项的触发条件和持续时间，报警信息可推送给不同的管理员邮箱；</w:t>
            </w:r>
          </w:p>
          <w:p>
            <w:pPr>
              <w:numPr>
                <w:ilvl w:val="0"/>
                <w:numId w:val="2"/>
              </w:numPr>
              <w:spacing w:line="240" w:lineRule="auto"/>
              <w:ind w:left="425" w:leftChars="0" w:hanging="425" w:firstLineChars="0"/>
              <w:jc w:val="left"/>
              <w:rPr>
                <w:rFonts w:hint="eastAsia" w:ascii="仿宋" w:hAnsi="仿宋" w:eastAsia="仿宋" w:cs="仿宋"/>
                <w:sz w:val="18"/>
                <w:szCs w:val="18"/>
              </w:rPr>
            </w:pPr>
            <w:r>
              <w:rPr>
                <w:rFonts w:hint="eastAsia" w:ascii="仿宋" w:hAnsi="仿宋" w:eastAsia="仿宋" w:cs="仿宋"/>
                <w:sz w:val="18"/>
                <w:szCs w:val="18"/>
              </w:rPr>
              <w:t>★提供CNAS认可资质的第三方专业检测机构出具的产品检测报告，报告至少涵盖高温工作、交变湿热、随机振动、压力试验、跌落实验、碰撞试验等内容；</w:t>
            </w:r>
          </w:p>
          <w:p>
            <w:pPr>
              <w:numPr>
                <w:ilvl w:val="0"/>
                <w:numId w:val="2"/>
              </w:numPr>
              <w:spacing w:line="240" w:lineRule="auto"/>
              <w:ind w:left="425" w:leftChars="0" w:hanging="425" w:firstLineChars="0"/>
              <w:jc w:val="left"/>
              <w:rPr>
                <w:rFonts w:hint="eastAsia" w:ascii="仿宋" w:hAnsi="仿宋" w:eastAsia="仿宋" w:cs="仿宋"/>
                <w:sz w:val="18"/>
                <w:szCs w:val="18"/>
              </w:rPr>
            </w:pPr>
            <w:r>
              <w:rPr>
                <w:rFonts w:hint="eastAsia" w:ascii="仿宋" w:hAnsi="仿宋" w:eastAsia="仿宋" w:cs="仿宋"/>
                <w:sz w:val="18"/>
                <w:szCs w:val="18"/>
              </w:rPr>
              <w:t>通过国家强制CCC认证以及节能认证；</w:t>
            </w:r>
          </w:p>
          <w:p>
            <w:pPr>
              <w:widowControl/>
              <w:numPr>
                <w:ilvl w:val="0"/>
                <w:numId w:val="2"/>
              </w:numPr>
              <w:spacing w:line="240" w:lineRule="auto"/>
              <w:ind w:left="425" w:leftChars="0" w:hanging="425" w:firstLineChars="0"/>
              <w:contextualSpacing/>
              <w:jc w:val="left"/>
              <w:textAlignment w:val="center"/>
              <w:rPr>
                <w:rFonts w:hint="eastAsia" w:ascii="仿宋" w:hAnsi="仿宋" w:eastAsia="仿宋" w:cs="仿宋"/>
                <w:color w:val="000000"/>
                <w:kern w:val="0"/>
                <w:sz w:val="18"/>
                <w:szCs w:val="18"/>
                <w:lang w:bidi="ar"/>
              </w:rPr>
            </w:pPr>
            <w:r>
              <w:rPr>
                <w:rFonts w:hint="eastAsia" w:ascii="仿宋" w:hAnsi="仿宋" w:eastAsia="仿宋" w:cs="仿宋"/>
                <w:sz w:val="18"/>
                <w:szCs w:val="18"/>
              </w:rPr>
              <w:t>提供产品原厂授权函和售后服务承诺函；</w:t>
            </w:r>
          </w:p>
        </w:tc>
      </w:tr>
      <w:tr>
        <w:tblPrEx>
          <w:tblCellMar>
            <w:top w:w="0" w:type="dxa"/>
            <w:left w:w="108" w:type="dxa"/>
            <w:bottom w:w="0" w:type="dxa"/>
            <w:right w:w="108" w:type="dxa"/>
          </w:tblCellMar>
        </w:tblPrEx>
        <w:trPr>
          <w:trHeight w:val="0" w:hRule="atLeast"/>
          <w:jc w:val="center"/>
        </w:trPr>
        <w:tc>
          <w:tcPr>
            <w:tcW w:w="724" w:type="dxa"/>
            <w:tcBorders>
              <w:top w:val="single" w:color="000000" w:sz="4" w:space="0"/>
              <w:left w:val="single" w:color="000000" w:sz="8" w:space="0"/>
              <w:bottom w:val="single" w:color="000000" w:sz="4" w:space="0"/>
              <w:right w:val="single" w:color="000000" w:sz="4" w:space="0"/>
            </w:tcBorders>
            <w:noWrap w:val="0"/>
            <w:vAlign w:val="center"/>
          </w:tcPr>
          <w:p>
            <w:pPr>
              <w:widowControl/>
              <w:spacing w:line="240" w:lineRule="auto"/>
              <w:ind w:firstLine="0" w:firstLineChars="0"/>
              <w:jc w:val="center"/>
              <w:textAlignment w:val="bottom"/>
              <w:rPr>
                <w:rFonts w:hint="eastAsia" w:ascii="仿宋" w:hAnsi="仿宋" w:eastAsia="仿宋" w:cs="仿宋"/>
                <w:color w:val="000000"/>
                <w:sz w:val="18"/>
                <w:szCs w:val="18"/>
              </w:rPr>
            </w:pPr>
            <w:r>
              <w:rPr>
                <w:rFonts w:hint="eastAsia" w:ascii="仿宋" w:hAnsi="仿宋" w:eastAsia="仿宋" w:cs="仿宋"/>
                <w:color w:val="000000"/>
                <w:kern w:val="0"/>
                <w:sz w:val="18"/>
                <w:szCs w:val="18"/>
                <w:lang w:bidi="ar"/>
              </w:rPr>
              <w:t>2</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18"/>
                <w:szCs w:val="18"/>
                <w:lang w:bidi="ar"/>
              </w:rPr>
              <w:t>云桌面客户端</w:t>
            </w:r>
            <w:r>
              <w:rPr>
                <w:rFonts w:hint="eastAsia" w:ascii="仿宋" w:hAnsi="仿宋" w:eastAsia="仿宋" w:cs="仿宋"/>
                <w:color w:val="000000"/>
                <w:kern w:val="0"/>
                <w:sz w:val="18"/>
                <w:szCs w:val="18"/>
                <w:lang w:val="en-US" w:eastAsia="zh-CN" w:bidi="ar"/>
              </w:rPr>
              <w:t>授权</w:t>
            </w:r>
          </w:p>
        </w:tc>
        <w:tc>
          <w:tcPr>
            <w:tcW w:w="7695" w:type="dxa"/>
            <w:tcBorders>
              <w:top w:val="single" w:color="000000" w:sz="4" w:space="0"/>
              <w:left w:val="single" w:color="000000" w:sz="4" w:space="0"/>
              <w:bottom w:val="single" w:color="000000" w:sz="4" w:space="0"/>
              <w:right w:val="single" w:color="000000" w:sz="4" w:space="0"/>
            </w:tcBorders>
            <w:noWrap w:val="0"/>
            <w:vAlign w:val="center"/>
          </w:tcPr>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虚拟化软件可直接安装在物理服务器上，通过一个安装包即可实现VDI/VOI/IDV三种架构云桌面服务端的统一安装，并立即生效使用，无需部署其他组件，安装完成后管理平台可通过账号密码及微信扫码多种方式登录；</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管理平台和终端支持IPv4、IPv6网络环境下的安装使用，可配置IPv4、IPv6网络信息；</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支持VDI/VOI/IDV融合客户端，同一客户端可访问VDI、VOI和IDV桌面，并可按需切换，满足用户不同应用场景的多样化访问需求；</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★支持跨</w:t>
            </w:r>
            <w:r>
              <w:rPr>
                <w:rFonts w:hint="eastAsia" w:ascii="仿宋" w:hAnsi="仿宋" w:eastAsia="仿宋" w:cs="仿宋"/>
                <w:color w:val="auto"/>
                <w:sz w:val="18"/>
                <w:szCs w:val="18"/>
                <w:lang w:val="en-US" w:eastAsia="zh-CN"/>
              </w:rPr>
              <w:t>区域</w:t>
            </w:r>
            <w:r>
              <w:rPr>
                <w:rFonts w:hint="eastAsia" w:ascii="仿宋" w:hAnsi="仿宋" w:eastAsia="仿宋" w:cs="仿宋"/>
                <w:color w:val="auto"/>
                <w:sz w:val="18"/>
                <w:szCs w:val="18"/>
              </w:rPr>
              <w:t>部署，云服务器可部署在不同的</w:t>
            </w:r>
            <w:r>
              <w:rPr>
                <w:rFonts w:hint="eastAsia" w:ascii="仿宋" w:hAnsi="仿宋" w:eastAsia="仿宋" w:cs="仿宋"/>
                <w:color w:val="auto"/>
                <w:sz w:val="18"/>
                <w:szCs w:val="18"/>
                <w:lang w:val="en-US" w:eastAsia="zh-CN"/>
              </w:rPr>
              <w:t>区域</w:t>
            </w:r>
            <w:r>
              <w:rPr>
                <w:rFonts w:hint="eastAsia" w:ascii="仿宋" w:hAnsi="仿宋" w:eastAsia="仿宋" w:cs="仿宋"/>
                <w:color w:val="auto"/>
                <w:sz w:val="18"/>
                <w:szCs w:val="18"/>
              </w:rPr>
              <w:t>，单一IP地址即可访问和管理所有</w:t>
            </w:r>
            <w:r>
              <w:rPr>
                <w:rFonts w:hint="eastAsia" w:ascii="仿宋" w:hAnsi="仿宋" w:eastAsia="仿宋" w:cs="仿宋"/>
                <w:color w:val="auto"/>
                <w:sz w:val="18"/>
                <w:szCs w:val="18"/>
                <w:lang w:val="en-US" w:eastAsia="zh-CN"/>
              </w:rPr>
              <w:t>区域</w:t>
            </w:r>
            <w:r>
              <w:rPr>
                <w:rFonts w:hint="eastAsia" w:ascii="仿宋" w:hAnsi="仿宋" w:eastAsia="仿宋" w:cs="仿宋"/>
                <w:color w:val="auto"/>
                <w:sz w:val="18"/>
                <w:szCs w:val="18"/>
              </w:rPr>
              <w:t>，支持多</w:t>
            </w:r>
            <w:r>
              <w:rPr>
                <w:rFonts w:hint="eastAsia" w:ascii="仿宋" w:hAnsi="仿宋" w:eastAsia="仿宋" w:cs="仿宋"/>
                <w:color w:val="auto"/>
                <w:sz w:val="18"/>
                <w:szCs w:val="18"/>
                <w:lang w:val="en-US" w:eastAsia="zh-CN"/>
              </w:rPr>
              <w:t>区域</w:t>
            </w:r>
            <w:r>
              <w:rPr>
                <w:rFonts w:hint="eastAsia" w:ascii="仿宋" w:hAnsi="仿宋" w:eastAsia="仿宋" w:cs="仿宋"/>
                <w:color w:val="auto"/>
                <w:sz w:val="18"/>
                <w:szCs w:val="18"/>
              </w:rPr>
              <w:t>切换管理，支持新增</w:t>
            </w:r>
            <w:r>
              <w:rPr>
                <w:rFonts w:hint="eastAsia" w:ascii="仿宋" w:hAnsi="仿宋" w:eastAsia="仿宋" w:cs="仿宋"/>
                <w:color w:val="auto"/>
                <w:sz w:val="18"/>
                <w:szCs w:val="18"/>
                <w:lang w:val="en-US" w:eastAsia="zh-CN"/>
              </w:rPr>
              <w:t>区域</w:t>
            </w:r>
            <w:r>
              <w:rPr>
                <w:rFonts w:hint="eastAsia" w:ascii="仿宋" w:hAnsi="仿宋" w:eastAsia="仿宋" w:cs="仿宋"/>
                <w:color w:val="auto"/>
                <w:sz w:val="18"/>
                <w:szCs w:val="18"/>
              </w:rPr>
              <w:t>，便于构建区域级云桌面同一管理平台，满足</w:t>
            </w:r>
            <w:r>
              <w:rPr>
                <w:rFonts w:hint="eastAsia" w:ascii="仿宋" w:hAnsi="仿宋" w:eastAsia="仿宋" w:cs="仿宋"/>
                <w:color w:val="auto"/>
                <w:sz w:val="18"/>
                <w:szCs w:val="18"/>
                <w:lang w:val="en-US" w:eastAsia="zh-CN"/>
              </w:rPr>
              <w:t>学校</w:t>
            </w:r>
            <w:r>
              <w:rPr>
                <w:rFonts w:hint="eastAsia" w:ascii="仿宋" w:hAnsi="仿宋" w:eastAsia="仿宋" w:cs="仿宋"/>
                <w:color w:val="auto"/>
                <w:sz w:val="18"/>
                <w:szCs w:val="18"/>
              </w:rPr>
              <w:t>区域云桌面建设；（提供功能界面截图并加盖原厂公章）</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支持跨学校多区域资源汇总分析，可统计所有学校的桌面云部署信息，至少包括服务器数量，CPU、内存、存储使用率，教室数量，终端数量，桌面数量等，也可统计分析学校内桌面使用次数，桌面场景使用时长，机房日均使用时长等信息，便于教育局掌握桌面云整体建设使情况；（提供第三方检测机构出具的具备CNAS标识的产品功能测试报告复印件或扫描件）</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★单个平台可交付多种类型桌面，至少包括VDI桌面、VOI桌面、IDV桌面、漫游桌面、个人桌面，覆盖学校电脑教室、多媒体教室、语音教室、教师办公等桌面应用场景</w:t>
            </w:r>
            <w:r>
              <w:rPr>
                <w:rFonts w:hint="eastAsia" w:ascii="仿宋" w:hAnsi="仿宋" w:eastAsia="仿宋" w:cs="仿宋"/>
                <w:color w:val="auto"/>
                <w:sz w:val="18"/>
                <w:szCs w:val="18"/>
                <w:lang w:eastAsia="zh-CN"/>
              </w:rPr>
              <w:t>，</w:t>
            </w:r>
            <w:r>
              <w:rPr>
                <w:rFonts w:hint="eastAsia" w:ascii="仿宋" w:hAnsi="仿宋" w:eastAsia="仿宋" w:cs="仿宋"/>
                <w:color w:val="auto"/>
                <w:sz w:val="18"/>
                <w:szCs w:val="18"/>
                <w:lang w:val="en-US" w:eastAsia="zh-CN"/>
              </w:rPr>
              <w:t>满足学校后期的建设需求</w:t>
            </w:r>
            <w:r>
              <w:rPr>
                <w:rFonts w:hint="eastAsia" w:ascii="仿宋" w:hAnsi="仿宋" w:eastAsia="仿宋" w:cs="仿宋"/>
                <w:color w:val="auto"/>
                <w:sz w:val="18"/>
                <w:szCs w:val="18"/>
              </w:rPr>
              <w:t>；（提供第三方检测机构出具的具备CNAS标识的产品功能测试报告复印件或扫描件）</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★支持批量部署裸虚拟机环境，学生可手动安装操作系统，满足装机实验课程的实践需要；（提供第三方检测机构出具的具备CNAS标识的产品功能测试报告复印件或扫描件）</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支持本地及在线1080P视频的流畅播放，在线视频支持添加任意视频网站，包括但不限于爱奇艺、优酷、腾讯视频、以及学校自己搭建或购买的视频学习网站；</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支持在WEB管理平台上直接对服务器SSD硬盘进行性能测试，不依赖第三方测试工具，可获取SSD硬盘16K随机读、顺序写数值，并给出测试评级结果，便于管理员定位系统故障；（提供第三方检测机构出具的具备CNAS标识的产品功能测试报告复印件或扫描件</w:t>
            </w:r>
            <w:r>
              <w:rPr>
                <w:rFonts w:hint="eastAsia" w:ascii="仿宋" w:hAnsi="仿宋" w:eastAsia="仿宋" w:cs="仿宋"/>
                <w:color w:val="auto"/>
                <w:sz w:val="18"/>
                <w:szCs w:val="18"/>
                <w:lang w:eastAsia="zh-CN"/>
              </w:rPr>
              <w:t>，</w:t>
            </w:r>
            <w:r>
              <w:rPr>
                <w:rFonts w:hint="eastAsia" w:ascii="仿宋" w:hAnsi="仿宋" w:eastAsia="仿宋" w:cs="仿宋"/>
                <w:b/>
                <w:bCs/>
                <w:color w:val="auto"/>
                <w:sz w:val="18"/>
                <w:szCs w:val="18"/>
                <w:lang w:val="en-US" w:eastAsia="zh-CN"/>
              </w:rPr>
              <w:t>提供功能演示视频</w:t>
            </w:r>
            <w:r>
              <w:rPr>
                <w:rFonts w:hint="eastAsia" w:ascii="仿宋" w:hAnsi="仿宋" w:eastAsia="仿宋" w:cs="仿宋"/>
                <w:color w:val="auto"/>
                <w:sz w:val="18"/>
                <w:szCs w:val="18"/>
              </w:rPr>
              <w:t>）</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★单个终端可同时支持教学桌面和</w:t>
            </w:r>
            <w:r>
              <w:rPr>
                <w:rFonts w:hint="eastAsia" w:ascii="仿宋" w:hAnsi="仿宋" w:eastAsia="仿宋" w:cs="仿宋"/>
                <w:color w:val="auto"/>
                <w:sz w:val="18"/>
                <w:szCs w:val="18"/>
                <w:lang w:val="en-US" w:eastAsia="zh-CN"/>
              </w:rPr>
              <w:t>教师</w:t>
            </w:r>
            <w:r>
              <w:rPr>
                <w:rFonts w:hint="eastAsia" w:ascii="仿宋" w:hAnsi="仿宋" w:eastAsia="仿宋" w:cs="仿宋"/>
                <w:color w:val="auto"/>
                <w:sz w:val="18"/>
                <w:szCs w:val="18"/>
              </w:rPr>
              <w:t>个人</w:t>
            </w:r>
            <w:r>
              <w:rPr>
                <w:rFonts w:hint="eastAsia" w:ascii="仿宋" w:hAnsi="仿宋" w:eastAsia="仿宋" w:cs="仿宋"/>
                <w:color w:val="auto"/>
                <w:sz w:val="18"/>
                <w:szCs w:val="18"/>
                <w:lang w:val="en-US" w:eastAsia="zh-CN"/>
              </w:rPr>
              <w:t>办公</w:t>
            </w:r>
            <w:r>
              <w:rPr>
                <w:rFonts w:hint="eastAsia" w:ascii="仿宋" w:hAnsi="仿宋" w:eastAsia="仿宋" w:cs="仿宋"/>
                <w:color w:val="auto"/>
                <w:sz w:val="18"/>
                <w:szCs w:val="18"/>
              </w:rPr>
              <w:t>桌面两种使用方式，教学桌面开机无需账号直接进入桌面，满足学生上课使用；个人桌面开机须输入账号密码进入桌面，便于个性化实验或教师办公使用；管理台可控制允许终端进入的桌面类型，包括仅使用教学桌面，仅使用个人桌面，混合登录三种方式；（提供第三方检测机构出具的具备CNAS标识的产品功能测试报告复印件或扫描件）</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支持桌面还原属性修改，桌面创建完成后，可随时在管理平台根据教学需求修改教学桌面还原属性，可单独分别为系统盘和数据盘设置每次还原，每天还原，每周还原、每月还原或不还原，也可对场景中的任意数量的桌面实现还原操作，满足教学桌面还原和考试环境数据保存等需求；（提供第三方检测机构出具的具备CNAS标识的产品功能测试报告复印件或扫描件</w:t>
            </w:r>
            <w:r>
              <w:rPr>
                <w:rFonts w:hint="eastAsia" w:ascii="仿宋" w:hAnsi="仿宋" w:eastAsia="仿宋" w:cs="仿宋"/>
                <w:color w:val="auto"/>
                <w:sz w:val="18"/>
                <w:szCs w:val="18"/>
                <w:lang w:eastAsia="zh-CN"/>
              </w:rPr>
              <w:t>，</w:t>
            </w:r>
            <w:r>
              <w:rPr>
                <w:rFonts w:hint="eastAsia" w:ascii="仿宋" w:hAnsi="仿宋" w:eastAsia="仿宋" w:cs="仿宋"/>
                <w:b/>
                <w:bCs/>
                <w:color w:val="auto"/>
                <w:sz w:val="18"/>
                <w:szCs w:val="18"/>
                <w:lang w:val="en-US" w:eastAsia="zh-CN"/>
              </w:rPr>
              <w:t>提供功能演示视频</w:t>
            </w:r>
            <w:r>
              <w:rPr>
                <w:rFonts w:hint="eastAsia" w:ascii="仿宋" w:hAnsi="仿宋" w:eastAsia="仿宋" w:cs="仿宋"/>
                <w:color w:val="auto"/>
                <w:sz w:val="18"/>
                <w:szCs w:val="18"/>
              </w:rPr>
              <w:t>）</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支持在一个终端上通过一个账号密码，同时登录多个个人桌面，桌面可窗口化显示，可以拖动缩放,无需桌面切换即可满足用户同时使用不同桌面的场景；（提供第三方检测机构出具的具备CNAS标识的产品功能测试报告复印件或扫描件）</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★通过网页登录桌面或系统模板时，支持拖拽方式实现本地系统和虚拟桌面之间的文件上传和下载，便于数据文件的共享；</w:t>
            </w:r>
            <w:r>
              <w:rPr>
                <w:rFonts w:hint="eastAsia" w:ascii="仿宋" w:hAnsi="仿宋" w:eastAsia="仿宋" w:cs="仿宋"/>
                <w:b/>
                <w:bCs/>
                <w:color w:val="auto"/>
                <w:sz w:val="18"/>
                <w:szCs w:val="18"/>
                <w:lang w:eastAsia="zh-CN"/>
              </w:rPr>
              <w:t>（</w:t>
            </w:r>
            <w:r>
              <w:rPr>
                <w:rFonts w:hint="eastAsia" w:ascii="仿宋" w:hAnsi="仿宋" w:eastAsia="仿宋" w:cs="仿宋"/>
                <w:b/>
                <w:bCs/>
                <w:color w:val="auto"/>
                <w:sz w:val="18"/>
                <w:szCs w:val="18"/>
                <w:lang w:val="en-US" w:eastAsia="zh-CN"/>
              </w:rPr>
              <w:t>提供功能演示视频</w:t>
            </w:r>
            <w:r>
              <w:rPr>
                <w:rFonts w:hint="eastAsia" w:ascii="仿宋" w:hAnsi="仿宋" w:eastAsia="仿宋" w:cs="仿宋"/>
                <w:b/>
                <w:bCs/>
                <w:color w:val="auto"/>
                <w:sz w:val="18"/>
                <w:szCs w:val="18"/>
                <w:lang w:eastAsia="zh-CN"/>
              </w:rPr>
              <w:t>）</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支持windows系统下的屏幕水印功能，可设置水印显示位置、字体大小、颜色、透明度，可设置显示内容，包括桌面计算机名，终端序号，桌面IP地址，MAC地址，还原方式等信息，还</w:t>
            </w:r>
            <w:r>
              <w:rPr>
                <w:rFonts w:hint="eastAsia" w:ascii="仿宋" w:hAnsi="仿宋" w:eastAsia="仿宋" w:cs="仿宋"/>
                <w:b/>
                <w:bCs/>
                <w:color w:val="auto"/>
                <w:sz w:val="18"/>
                <w:szCs w:val="18"/>
              </w:rPr>
              <w:t>可自定义显示内容，</w:t>
            </w:r>
            <w:r>
              <w:rPr>
                <w:rFonts w:hint="eastAsia" w:ascii="仿宋" w:hAnsi="仿宋" w:eastAsia="仿宋" w:cs="仿宋"/>
                <w:color w:val="auto"/>
                <w:sz w:val="18"/>
                <w:szCs w:val="18"/>
              </w:rPr>
              <w:t>进入系统后，桌面右上角可置顶显示设置的信息水印，便于管理员维护时快速查找对应的终端；（提供功能截图并加盖原厂公章）</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支持个人桌面回收站功能，防止因个人桌面误删除造成的数据丢失，可设置回收站文件保存天数，超期的文件将被自动删除，也可彻底删除或还原虚拟桌面；（提供功能截图并加盖原厂公章）；</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因操作系统故障，用户无法进入VDI个人桌面环境时，可直接在web端个人桌面页面，通过平台自带的数据找回功能，快速找回个人数据；</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为保留用户使用习惯，支持VOI教学桌面、个人桌面个性化数据漫游，桌面更新后个人数据包括桌面、浏览器、输入法、文件夹、文件、注册表等可保留不被还原；</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为方便教学信息的传递，支持消息通知功能，可将消息内容发送到所选教室的桌面，支持设置自动关闭消息通知的时间；</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支持硬件虚拟化功能，开启后针对硬件识别码的软件可实现软件统一注册，大幅度降低激活软件带来的工作量；（提供功能截图并加盖原厂公章）</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支持模板的共享和转让，管理用户可将所属权限下的模板共享给其他管理员，便于其他管理员编辑使用，也可直接转让模板，让被转让的管理员拥有模板所有操作权限，从而实现模板的分权管理；</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支持模板分享链接，管理员可以将编辑模板的链接分享给需要编辑模板的其他管理员或老师，在浏览器中直接输入链接地址即可对模板进行编辑，支持分享日期、分享链接的失效期设置。（提供第三方检测机构出具的具备CNAS标识的产品功能测试报告复印件或扫描件</w:t>
            </w:r>
            <w:r>
              <w:rPr>
                <w:rFonts w:hint="eastAsia" w:ascii="仿宋" w:hAnsi="仿宋" w:eastAsia="仿宋" w:cs="仿宋"/>
                <w:color w:val="auto"/>
                <w:sz w:val="18"/>
                <w:szCs w:val="18"/>
                <w:lang w:eastAsia="zh-CN"/>
              </w:rPr>
              <w:t>，</w:t>
            </w:r>
            <w:r>
              <w:rPr>
                <w:rFonts w:hint="eastAsia" w:ascii="仿宋" w:hAnsi="仿宋" w:eastAsia="仿宋" w:cs="仿宋"/>
                <w:b/>
                <w:bCs/>
                <w:color w:val="auto"/>
                <w:sz w:val="18"/>
                <w:szCs w:val="18"/>
                <w:lang w:val="en-US" w:eastAsia="zh-CN"/>
              </w:rPr>
              <w:t>提供功能演示视频</w:t>
            </w:r>
            <w:r>
              <w:rPr>
                <w:rFonts w:hint="eastAsia" w:ascii="仿宋" w:hAnsi="仿宋" w:eastAsia="仿宋" w:cs="仿宋"/>
                <w:color w:val="auto"/>
                <w:sz w:val="18"/>
                <w:szCs w:val="18"/>
              </w:rPr>
              <w:t>）</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支持终端的快速筛选，如在隔位考试的情况下，可通过单双号方式，快速筛选定位所要查看的终端；</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针对VDI/VOI/IDV三种桌面终端均可设置定时开关机计划，可按周期在固定时间唤醒和关闭对应的教学桌面终端，日期精确到天、时间精确到分钟，并可以指定开机的虚拟桌面范围；（提供功能截图并加盖原厂公章）</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具备共享磁盘功能，支持每周，每月自动清理，开启共享磁盘后，指定的教师机桌面和学生教学桌面可自动挂载“资料共享区”，教师可上传资料（可读可写），学生可读取资料（只读）；可自动挂载“资料上传区”，学生可以上传资料，无法访问他人资料，教师可读取所有人资料，便于教学数据存储和资料共享；</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支持在虚拟化平台上查看服务器和虚拟机的运行详细情况，包括服务器和虚拟桌面的CPU占用率、内存占用率、磁盘读写速度、网络流量、进程资源占用率；（提供第三方检测机构出具的具备CNAS标识的产品功能测试报告复印件或扫描件</w:t>
            </w:r>
            <w:r>
              <w:rPr>
                <w:rFonts w:hint="eastAsia" w:ascii="仿宋" w:hAnsi="仿宋" w:cs="仿宋"/>
                <w:color w:val="auto"/>
                <w:sz w:val="18"/>
                <w:szCs w:val="18"/>
                <w:lang w:eastAsia="zh-CN"/>
              </w:rPr>
              <w:t>，</w:t>
            </w:r>
            <w:r>
              <w:rPr>
                <w:rFonts w:hint="eastAsia" w:ascii="仿宋" w:hAnsi="仿宋" w:eastAsia="仿宋" w:cs="仿宋"/>
                <w:b/>
                <w:bCs/>
                <w:color w:val="auto"/>
                <w:sz w:val="18"/>
                <w:szCs w:val="18"/>
                <w:lang w:val="en-US" w:eastAsia="zh-CN"/>
              </w:rPr>
              <w:t>提供功能演示视频</w:t>
            </w:r>
            <w:r>
              <w:rPr>
                <w:rFonts w:hint="eastAsia" w:ascii="仿宋" w:hAnsi="仿宋" w:eastAsia="仿宋" w:cs="仿宋"/>
                <w:color w:val="auto"/>
                <w:sz w:val="18"/>
                <w:szCs w:val="18"/>
              </w:rPr>
              <w:t>）</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可针对不同的功能模块和</w:t>
            </w:r>
            <w:r>
              <w:rPr>
                <w:rFonts w:hint="eastAsia" w:ascii="仿宋" w:hAnsi="仿宋" w:eastAsia="仿宋" w:cs="仿宋"/>
                <w:color w:val="auto"/>
                <w:sz w:val="18"/>
                <w:szCs w:val="18"/>
                <w:lang w:val="en-US" w:eastAsia="zh-CN"/>
              </w:rPr>
              <w:t>办公区域</w:t>
            </w:r>
            <w:r>
              <w:rPr>
                <w:rFonts w:hint="eastAsia" w:ascii="仿宋" w:hAnsi="仿宋" w:eastAsia="仿宋" w:cs="仿宋"/>
                <w:color w:val="auto"/>
                <w:sz w:val="18"/>
                <w:szCs w:val="18"/>
              </w:rPr>
              <w:t>范围进行权限角色的划分，可授权管理员能操作的管理平台功能，权限细分到每一个功能菜单操作；可授权管理员可管理的</w:t>
            </w:r>
            <w:r>
              <w:rPr>
                <w:rFonts w:hint="eastAsia" w:ascii="仿宋" w:hAnsi="仿宋" w:eastAsia="仿宋" w:cs="仿宋"/>
                <w:color w:val="auto"/>
                <w:sz w:val="18"/>
                <w:szCs w:val="18"/>
                <w:lang w:val="en-US" w:eastAsia="zh-CN"/>
              </w:rPr>
              <w:t>办公区域</w:t>
            </w:r>
            <w:r>
              <w:rPr>
                <w:rFonts w:hint="eastAsia" w:ascii="仿宋" w:hAnsi="仿宋" w:eastAsia="仿宋" w:cs="仿宋"/>
                <w:color w:val="auto"/>
                <w:sz w:val="18"/>
                <w:szCs w:val="18"/>
              </w:rPr>
              <w:t>范围；（提供功能截图并加盖原厂公章）</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桌面云平台支持教学网盘功能，无需第三方组件，创建桌面账户时可同步生成网盘账号，启用网盘后可通过该账号直接登录网盘，网盘支持网页端和本地客户端两种登录方式，用户在本地同步目录下的文件会自动与云端保持同步，便于数据移动访问和使用；</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提供系统操作日志功能，可独立查看管理日志和用户日志（包括操作内容，操作者，操作时间，登录主机IP，操作对象等），便于管理员精确定位操作记录，可设置日志的保留时间，如一个月，一年，永久等，支持对日志文件的备份，包括立即备份和自动备份，可设置自动备份周期、备份时间、备份文件保留数量；（提供功能截图并加盖原厂公章）</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支持WinXP/Win7/Win8/Win10等Windows系统、Ubuntu/Redhat等Linux系统，中标麒麟等国产操作系统，Windows server2008/2012等服务器系统的发布；</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支持主流服务器、存储、网络设备厂商，支持主流PC厂商，不绑定终端设备；兼容多种架构和类型的终端，包括:X86云终端、ARM云终端等，可根据实际应用灵活选择终端配置；</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兼容旧PC，可将老旧PC接入平台进行统一管理，可同时给新旧终端批量下发操作系统、统一更新软件；</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支持USB重定向技术，虚拟桌面可快速识别USB存储、打印机、扫描仪、电子白板等设备，并可控制USB设备的使用权限；</w:t>
            </w:r>
          </w:p>
          <w:p>
            <w:pPr>
              <w:numPr>
                <w:ilvl w:val="0"/>
                <w:numId w:val="3"/>
              </w:numPr>
              <w:spacing w:line="240" w:lineRule="auto"/>
              <w:ind w:left="425" w:leftChars="0" w:hanging="425" w:firstLineChars="0"/>
              <w:rPr>
                <w:rFonts w:hint="eastAsia" w:ascii="仿宋" w:hAnsi="仿宋" w:eastAsia="仿宋" w:cs="仿宋"/>
                <w:color w:val="auto"/>
                <w:sz w:val="18"/>
                <w:szCs w:val="18"/>
              </w:rPr>
            </w:pPr>
            <w:r>
              <w:rPr>
                <w:rFonts w:hint="eastAsia" w:ascii="仿宋" w:hAnsi="仿宋" w:eastAsia="仿宋" w:cs="仿宋"/>
                <w:color w:val="auto"/>
                <w:sz w:val="18"/>
                <w:szCs w:val="18"/>
              </w:rPr>
              <w:t>为保障资源的合理使用，支持集群负载均衡，服务器CPU，内存在设定的条件下，桌面可自动负载到其他服务器节点；支持桌面均衡启动，桌面启动时能够按照服务器CPU或内存使用率，自动在资源利用率较低的服务器中运行桌面；</w:t>
            </w:r>
          </w:p>
          <w:p>
            <w:pPr>
              <w:widowControl/>
              <w:numPr>
                <w:ilvl w:val="0"/>
                <w:numId w:val="3"/>
              </w:numPr>
              <w:spacing w:line="240" w:lineRule="auto"/>
              <w:ind w:left="425" w:leftChars="0" w:hanging="425" w:firstLineChars="0"/>
              <w:contextualSpacing/>
              <w:jc w:val="left"/>
              <w:textAlignment w:val="center"/>
              <w:rPr>
                <w:rFonts w:hint="eastAsia" w:ascii="仿宋" w:hAnsi="仿宋" w:eastAsia="仿宋" w:cs="仿宋"/>
                <w:color w:val="000000"/>
                <w:kern w:val="0"/>
                <w:sz w:val="18"/>
                <w:szCs w:val="18"/>
                <w:lang w:bidi="ar"/>
              </w:rPr>
            </w:pPr>
            <w:r>
              <w:rPr>
                <w:rFonts w:hint="eastAsia" w:ascii="仿宋" w:hAnsi="仿宋" w:eastAsia="仿宋" w:cs="仿宋"/>
                <w:color w:val="auto"/>
                <w:sz w:val="18"/>
                <w:szCs w:val="18"/>
              </w:rPr>
              <w:t>为防止恶意网络攻击，具备集群访问控制，可限制单个或多个端口访问的IP地址段；</w:t>
            </w:r>
          </w:p>
        </w:tc>
      </w:tr>
      <w:tr>
        <w:tblPrEx>
          <w:tblCellMar>
            <w:top w:w="0" w:type="dxa"/>
            <w:left w:w="108" w:type="dxa"/>
            <w:bottom w:w="0" w:type="dxa"/>
            <w:right w:w="108" w:type="dxa"/>
          </w:tblCellMar>
        </w:tblPrEx>
        <w:trPr>
          <w:trHeight w:val="0" w:hRule="atLeast"/>
          <w:jc w:val="center"/>
        </w:trPr>
        <w:tc>
          <w:tcPr>
            <w:tcW w:w="724" w:type="dxa"/>
            <w:tcBorders>
              <w:top w:val="single" w:color="000000" w:sz="4" w:space="0"/>
              <w:left w:val="single" w:color="000000" w:sz="8" w:space="0"/>
              <w:bottom w:val="single" w:color="000000" w:sz="4" w:space="0"/>
              <w:right w:val="single" w:color="000000" w:sz="4" w:space="0"/>
            </w:tcBorders>
            <w:noWrap w:val="0"/>
            <w:vAlign w:val="center"/>
          </w:tcPr>
          <w:p>
            <w:pPr>
              <w:widowControl/>
              <w:spacing w:line="240" w:lineRule="auto"/>
              <w:ind w:firstLine="0" w:firstLineChars="0"/>
              <w:jc w:val="center"/>
              <w:textAlignment w:val="bottom"/>
              <w:rPr>
                <w:rFonts w:hint="eastAsia" w:ascii="仿宋" w:hAnsi="仿宋" w:eastAsia="仿宋" w:cs="仿宋"/>
                <w:color w:val="000000"/>
                <w:sz w:val="18"/>
                <w:szCs w:val="18"/>
              </w:rPr>
            </w:pPr>
            <w:r>
              <w:rPr>
                <w:rFonts w:hint="eastAsia" w:ascii="仿宋" w:hAnsi="仿宋" w:eastAsia="仿宋" w:cs="仿宋"/>
                <w:color w:val="000000"/>
                <w:kern w:val="0"/>
                <w:sz w:val="18"/>
                <w:szCs w:val="18"/>
                <w:lang w:bidi="ar"/>
              </w:rPr>
              <w:t>3</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仿宋" w:hAnsi="仿宋" w:eastAsia="仿宋" w:cs="仿宋"/>
                <w:color w:val="000000"/>
                <w:sz w:val="18"/>
                <w:szCs w:val="18"/>
                <w:highlight w:val="yellow"/>
              </w:rPr>
            </w:pPr>
            <w:r>
              <w:rPr>
                <w:rFonts w:hint="eastAsia" w:ascii="仿宋" w:hAnsi="仿宋" w:eastAsia="仿宋" w:cs="仿宋"/>
                <w:color w:val="000000"/>
                <w:kern w:val="0"/>
                <w:sz w:val="18"/>
                <w:szCs w:val="18"/>
                <w:highlight w:val="none"/>
                <w:lang w:bidi="ar"/>
              </w:rPr>
              <w:t>外网访问网关</w:t>
            </w:r>
          </w:p>
        </w:tc>
        <w:tc>
          <w:tcPr>
            <w:tcW w:w="7695" w:type="dxa"/>
            <w:tcBorders>
              <w:top w:val="single" w:color="000000" w:sz="4" w:space="0"/>
              <w:left w:val="single" w:color="000000" w:sz="4" w:space="0"/>
              <w:bottom w:val="single" w:color="000000" w:sz="4" w:space="0"/>
              <w:right w:val="single" w:color="000000" w:sz="4" w:space="0"/>
            </w:tcBorders>
            <w:noWrap w:val="0"/>
            <w:vAlign w:val="center"/>
          </w:tcPr>
          <w:p>
            <w:pPr>
              <w:pStyle w:val="7"/>
              <w:numPr>
                <w:ilvl w:val="0"/>
                <w:numId w:val="4"/>
              </w:numPr>
              <w:ind w:left="15" w:leftChars="5" w:firstLine="370" w:firstLineChars="206"/>
              <w:rPr>
                <w:sz w:val="18"/>
                <w:szCs w:val="18"/>
              </w:rPr>
            </w:pPr>
            <w:r>
              <w:rPr>
                <w:rFonts w:hint="eastAsia"/>
                <w:sz w:val="18"/>
                <w:szCs w:val="18"/>
              </w:rPr>
              <w:t>4层负载均衡：支持完善的4层负载均衡算法；</w:t>
            </w:r>
          </w:p>
          <w:p>
            <w:pPr>
              <w:pStyle w:val="7"/>
              <w:numPr>
                <w:ilvl w:val="0"/>
                <w:numId w:val="4"/>
              </w:numPr>
              <w:ind w:left="15" w:leftChars="5" w:firstLine="370" w:firstLineChars="206"/>
              <w:rPr>
                <w:sz w:val="18"/>
                <w:szCs w:val="18"/>
              </w:rPr>
            </w:pPr>
            <w:r>
              <w:rPr>
                <w:rFonts w:hint="eastAsia"/>
                <w:sz w:val="18"/>
                <w:szCs w:val="18"/>
              </w:rPr>
              <w:t>服务器健康检查：支持标准健康检查方法，并支持基于自定义脚本形式的应用层检测；</w:t>
            </w:r>
          </w:p>
          <w:p>
            <w:pPr>
              <w:pStyle w:val="7"/>
              <w:numPr>
                <w:ilvl w:val="0"/>
                <w:numId w:val="4"/>
              </w:numPr>
              <w:ind w:left="15" w:leftChars="5" w:firstLine="370" w:firstLineChars="206"/>
              <w:rPr>
                <w:sz w:val="18"/>
                <w:szCs w:val="18"/>
              </w:rPr>
            </w:pPr>
            <w:r>
              <w:rPr>
                <w:rFonts w:hint="eastAsia"/>
                <w:sz w:val="18"/>
                <w:szCs w:val="18"/>
              </w:rPr>
              <w:t>客户端会话保持：支持支持基于源IP, Cookie Insert, 可自定义规则的会话保持方式；</w:t>
            </w:r>
          </w:p>
          <w:p>
            <w:pPr>
              <w:pStyle w:val="7"/>
              <w:numPr>
                <w:ilvl w:val="0"/>
                <w:numId w:val="4"/>
              </w:numPr>
              <w:ind w:left="15" w:leftChars="5" w:firstLine="370" w:firstLineChars="206"/>
              <w:rPr>
                <w:sz w:val="18"/>
                <w:szCs w:val="18"/>
              </w:rPr>
            </w:pPr>
            <w:r>
              <w:rPr>
                <w:rFonts w:hint="eastAsia"/>
                <w:sz w:val="18"/>
                <w:szCs w:val="18"/>
              </w:rPr>
              <w:t>7层负载均衡：支持基于HTTP包头和负载信息的7层内容交换；</w:t>
            </w:r>
          </w:p>
          <w:p>
            <w:pPr>
              <w:pStyle w:val="7"/>
              <w:numPr>
                <w:ilvl w:val="0"/>
                <w:numId w:val="4"/>
              </w:numPr>
              <w:ind w:left="15" w:leftChars="5" w:firstLine="370" w:firstLineChars="206"/>
              <w:rPr>
                <w:sz w:val="18"/>
                <w:szCs w:val="18"/>
              </w:rPr>
            </w:pPr>
            <w:r>
              <w:rPr>
                <w:rFonts w:hint="eastAsia"/>
                <w:sz w:val="18"/>
                <w:szCs w:val="18"/>
              </w:rPr>
              <w:t>数据库负载均衡：支持数据库（如SQL, My SQL）负载均衡功能，提供图形配置界面；</w:t>
            </w:r>
          </w:p>
          <w:p>
            <w:pPr>
              <w:pStyle w:val="7"/>
              <w:numPr>
                <w:ilvl w:val="0"/>
                <w:numId w:val="4"/>
              </w:numPr>
              <w:ind w:left="15" w:leftChars="5" w:firstLine="370" w:firstLineChars="206"/>
              <w:rPr>
                <w:sz w:val="18"/>
                <w:szCs w:val="18"/>
              </w:rPr>
            </w:pPr>
            <w:r>
              <w:rPr>
                <w:rFonts w:hint="eastAsia"/>
                <w:sz w:val="18"/>
                <w:szCs w:val="18"/>
              </w:rPr>
              <w:t>应用策略引擎：支持可基于图形界面配置4-7层规则和策略；</w:t>
            </w:r>
          </w:p>
          <w:p>
            <w:pPr>
              <w:pStyle w:val="7"/>
              <w:numPr>
                <w:ilvl w:val="0"/>
                <w:numId w:val="4"/>
              </w:numPr>
              <w:ind w:left="15" w:leftChars="5" w:firstLine="370" w:firstLineChars="206"/>
              <w:rPr>
                <w:sz w:val="18"/>
                <w:szCs w:val="18"/>
              </w:rPr>
            </w:pPr>
            <w:r>
              <w:rPr>
                <w:rFonts w:hint="eastAsia"/>
                <w:sz w:val="18"/>
                <w:szCs w:val="18"/>
              </w:rPr>
              <w:t>SSL加速；支持SSL加速（加解密）功能；</w:t>
            </w:r>
          </w:p>
          <w:p>
            <w:pPr>
              <w:pStyle w:val="7"/>
              <w:numPr>
                <w:ilvl w:val="0"/>
                <w:numId w:val="4"/>
              </w:numPr>
              <w:ind w:left="15" w:leftChars="5" w:firstLine="370" w:firstLineChars="206"/>
              <w:rPr>
                <w:sz w:val="18"/>
                <w:szCs w:val="18"/>
              </w:rPr>
            </w:pPr>
            <w:r>
              <w:rPr>
                <w:rFonts w:hint="eastAsia"/>
                <w:sz w:val="18"/>
                <w:szCs w:val="18"/>
              </w:rPr>
              <w:t>TCP连接优化：支持TCP卸载/连接复用功能；</w:t>
            </w:r>
          </w:p>
          <w:p>
            <w:pPr>
              <w:pStyle w:val="7"/>
              <w:numPr>
                <w:ilvl w:val="0"/>
                <w:numId w:val="4"/>
              </w:numPr>
              <w:ind w:left="15" w:leftChars="5" w:firstLine="370" w:firstLineChars="206"/>
              <w:rPr>
                <w:sz w:val="18"/>
                <w:szCs w:val="18"/>
              </w:rPr>
            </w:pPr>
            <w:r>
              <w:rPr>
                <w:rFonts w:hint="eastAsia"/>
                <w:sz w:val="18"/>
                <w:szCs w:val="18"/>
              </w:rPr>
              <w:t>L4 DoS/DDoS攻击防护：系统可防止SYN flood等L4 DDOS攻击；</w:t>
            </w:r>
          </w:p>
          <w:p>
            <w:pPr>
              <w:pStyle w:val="7"/>
              <w:numPr>
                <w:ilvl w:val="0"/>
                <w:numId w:val="4"/>
              </w:numPr>
              <w:ind w:left="15" w:leftChars="5" w:firstLine="370" w:firstLineChars="206"/>
              <w:rPr>
                <w:sz w:val="18"/>
                <w:szCs w:val="18"/>
              </w:rPr>
            </w:pPr>
            <w:r>
              <w:rPr>
                <w:rFonts w:hint="eastAsia"/>
                <w:sz w:val="18"/>
                <w:szCs w:val="18"/>
              </w:rPr>
              <w:t>L7 DoS/DDoS攻击防护：系统可防止GET flood等L7 DDOS攻击；</w:t>
            </w:r>
          </w:p>
          <w:p>
            <w:pPr>
              <w:pStyle w:val="7"/>
              <w:numPr>
                <w:ilvl w:val="0"/>
                <w:numId w:val="4"/>
              </w:numPr>
              <w:ind w:left="15" w:leftChars="5" w:firstLine="370" w:firstLineChars="206"/>
              <w:rPr>
                <w:sz w:val="18"/>
                <w:szCs w:val="18"/>
              </w:rPr>
            </w:pPr>
            <w:r>
              <w:rPr>
                <w:rFonts w:hint="eastAsia"/>
                <w:sz w:val="18"/>
                <w:szCs w:val="18"/>
              </w:rPr>
              <w:t>HTTP重写功能：支持针对HTTP协议的包头和负载进行重写，插入，删除或修改HTTP部分内容后再转发给服务器或客户端；</w:t>
            </w:r>
          </w:p>
          <w:p>
            <w:pPr>
              <w:pStyle w:val="7"/>
              <w:numPr>
                <w:ilvl w:val="0"/>
                <w:numId w:val="4"/>
              </w:numPr>
              <w:ind w:left="15" w:leftChars="5" w:firstLine="370" w:firstLineChars="206"/>
              <w:rPr>
                <w:sz w:val="18"/>
                <w:szCs w:val="18"/>
              </w:rPr>
            </w:pPr>
            <w:r>
              <w:rPr>
                <w:rFonts w:hint="eastAsia"/>
                <w:sz w:val="18"/>
                <w:szCs w:val="18"/>
              </w:rPr>
              <w:t>客户端认证：支持可配合用户LDAP、Radius、TACAS等的客户端认证机制，可以配置用户先通过认证才可访问后端应用；</w:t>
            </w:r>
          </w:p>
          <w:p>
            <w:pPr>
              <w:pStyle w:val="7"/>
              <w:numPr>
                <w:ilvl w:val="0"/>
                <w:numId w:val="4"/>
              </w:numPr>
              <w:ind w:left="15" w:leftChars="5" w:firstLine="370" w:firstLineChars="206"/>
              <w:rPr>
                <w:sz w:val="18"/>
                <w:szCs w:val="18"/>
              </w:rPr>
            </w:pPr>
            <w:r>
              <w:rPr>
                <w:rFonts w:hint="eastAsia"/>
                <w:sz w:val="18"/>
                <w:szCs w:val="18"/>
              </w:rPr>
              <w:t>管理方式：支持Serial CLI, Telnet CLI, SSH CLI, HTTP/HTTPS, XML API CLI，集中管理软件，基于SNMP的第三方管理软件；</w:t>
            </w:r>
          </w:p>
          <w:p>
            <w:pPr>
              <w:widowControl/>
              <w:spacing w:line="240" w:lineRule="auto"/>
              <w:ind w:left="0" w:leftChars="0" w:firstLine="0" w:firstLineChars="0"/>
              <w:jc w:val="left"/>
              <w:textAlignment w:val="center"/>
              <w:rPr>
                <w:rFonts w:hint="eastAsia" w:ascii="仿宋" w:hAnsi="仿宋" w:eastAsia="仿宋" w:cs="仿宋"/>
                <w:color w:val="000000"/>
                <w:kern w:val="0"/>
                <w:sz w:val="18"/>
                <w:szCs w:val="18"/>
                <w:lang w:bidi="ar"/>
              </w:rPr>
            </w:pPr>
            <w:r>
              <w:rPr>
                <w:rFonts w:hint="eastAsia"/>
                <w:sz w:val="18"/>
                <w:szCs w:val="18"/>
              </w:rPr>
              <w:t>系统监控：支持实时监控图表和图形化历史报表记录；</w:t>
            </w:r>
          </w:p>
        </w:tc>
      </w:tr>
      <w:tr>
        <w:tblPrEx>
          <w:tblCellMar>
            <w:top w:w="0" w:type="dxa"/>
            <w:left w:w="108" w:type="dxa"/>
            <w:bottom w:w="0" w:type="dxa"/>
            <w:right w:w="108" w:type="dxa"/>
          </w:tblCellMar>
        </w:tblPrEx>
        <w:trPr>
          <w:trHeight w:val="0" w:hRule="atLeast"/>
          <w:jc w:val="center"/>
        </w:trPr>
        <w:tc>
          <w:tcPr>
            <w:tcW w:w="724" w:type="dxa"/>
            <w:tcBorders>
              <w:top w:val="single" w:color="000000" w:sz="4" w:space="0"/>
              <w:left w:val="single" w:color="000000" w:sz="8" w:space="0"/>
              <w:bottom w:val="single" w:color="000000" w:sz="4" w:space="0"/>
              <w:right w:val="single" w:color="000000" w:sz="4" w:space="0"/>
            </w:tcBorders>
            <w:noWrap w:val="0"/>
            <w:vAlign w:val="center"/>
          </w:tcPr>
          <w:p>
            <w:pPr>
              <w:widowControl/>
              <w:spacing w:line="240" w:lineRule="auto"/>
              <w:ind w:firstLine="0" w:firstLineChars="0"/>
              <w:jc w:val="center"/>
              <w:textAlignment w:val="bottom"/>
              <w:rPr>
                <w:rFonts w:hint="eastAsia" w:ascii="仿宋" w:hAnsi="仿宋" w:eastAsia="仿宋" w:cs="仿宋"/>
                <w:color w:val="000000"/>
                <w:sz w:val="18"/>
                <w:szCs w:val="18"/>
              </w:rPr>
            </w:pPr>
            <w:r>
              <w:rPr>
                <w:rFonts w:hint="eastAsia" w:ascii="仿宋" w:hAnsi="仿宋" w:eastAsia="仿宋" w:cs="仿宋"/>
                <w:color w:val="000000"/>
                <w:kern w:val="0"/>
                <w:sz w:val="18"/>
                <w:szCs w:val="18"/>
                <w:lang w:bidi="ar"/>
              </w:rPr>
              <w:t>4</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仿宋" w:hAnsi="仿宋" w:eastAsia="仿宋" w:cs="仿宋"/>
                <w:color w:val="000000"/>
                <w:sz w:val="18"/>
                <w:szCs w:val="18"/>
                <w:highlight w:val="yellow"/>
              </w:rPr>
            </w:pPr>
            <w:r>
              <w:rPr>
                <w:rFonts w:hint="eastAsia" w:ascii="仿宋" w:hAnsi="仿宋" w:eastAsia="仿宋" w:cs="仿宋"/>
                <w:color w:val="000000"/>
                <w:kern w:val="0"/>
                <w:sz w:val="18"/>
                <w:szCs w:val="18"/>
                <w:highlight w:val="none"/>
                <w:lang w:bidi="ar"/>
              </w:rPr>
              <w:t>汇聚层交换机</w:t>
            </w:r>
          </w:p>
        </w:tc>
        <w:tc>
          <w:tcPr>
            <w:tcW w:w="7695" w:type="dxa"/>
            <w:tcBorders>
              <w:top w:val="single" w:color="000000" w:sz="4" w:space="0"/>
              <w:left w:val="single" w:color="000000" w:sz="4" w:space="0"/>
              <w:bottom w:val="single" w:color="000000" w:sz="4" w:space="0"/>
              <w:right w:val="single" w:color="000000" w:sz="4" w:space="0"/>
            </w:tcBorders>
            <w:noWrap w:val="0"/>
            <w:vAlign w:val="center"/>
          </w:tcPr>
          <w:p>
            <w:pPr>
              <w:spacing w:line="276" w:lineRule="auto"/>
              <w:ind w:left="15" w:leftChars="5" w:firstLine="370" w:firstLineChars="206"/>
              <w:jc w:val="left"/>
              <w:rPr>
                <w:sz w:val="18"/>
                <w:szCs w:val="18"/>
              </w:rPr>
            </w:pPr>
            <w:r>
              <w:rPr>
                <w:rFonts w:hint="eastAsia"/>
                <w:sz w:val="18"/>
                <w:szCs w:val="18"/>
              </w:rPr>
              <w:t xml:space="preserve">交换容量：  交换容量≥1.28 Tbps/12.8 Tbps </w:t>
            </w:r>
          </w:p>
          <w:p>
            <w:pPr>
              <w:spacing w:line="276" w:lineRule="auto"/>
              <w:ind w:left="15" w:leftChars="5" w:firstLine="370" w:firstLineChars="206"/>
              <w:jc w:val="left"/>
              <w:rPr>
                <w:sz w:val="18"/>
                <w:szCs w:val="18"/>
              </w:rPr>
            </w:pPr>
            <w:r>
              <w:rPr>
                <w:rFonts w:hint="eastAsia"/>
                <w:sz w:val="18"/>
                <w:szCs w:val="18"/>
              </w:rPr>
              <w:t>包转发率：  包转发率≥216/366Mpps</w:t>
            </w:r>
          </w:p>
          <w:p>
            <w:pPr>
              <w:spacing w:line="276" w:lineRule="auto"/>
              <w:ind w:left="15" w:leftChars="5" w:firstLine="370" w:firstLineChars="206"/>
              <w:jc w:val="left"/>
              <w:rPr>
                <w:sz w:val="18"/>
                <w:szCs w:val="18"/>
              </w:rPr>
            </w:pPr>
            <w:r>
              <w:rPr>
                <w:rFonts w:hint="eastAsia"/>
                <w:sz w:val="18"/>
                <w:szCs w:val="18"/>
              </w:rPr>
              <w:t>端口类型：  24个千兆电口，1 个扩展插槽支持8*10GE 光，2*40GE 光及4*40GE（包含模块4个万兆模块）</w:t>
            </w:r>
          </w:p>
          <w:p>
            <w:pPr>
              <w:spacing w:line="276" w:lineRule="auto"/>
              <w:ind w:left="15" w:leftChars="5" w:firstLine="370" w:firstLineChars="206"/>
              <w:jc w:val="left"/>
              <w:rPr>
                <w:sz w:val="18"/>
                <w:szCs w:val="18"/>
              </w:rPr>
            </w:pPr>
            <w:r>
              <w:rPr>
                <w:rFonts w:hint="eastAsia"/>
                <w:sz w:val="18"/>
                <w:szCs w:val="18"/>
              </w:rPr>
              <w:t>堆叠：支持智能iStack堆叠，将多台支持堆叠特性的交换机组合在一起，从逻辑上虚拟为一台交换机。</w:t>
            </w:r>
          </w:p>
          <w:p>
            <w:pPr>
              <w:spacing w:line="276" w:lineRule="auto"/>
              <w:ind w:left="15" w:leftChars="5" w:firstLine="370" w:firstLineChars="206"/>
              <w:jc w:val="left"/>
              <w:rPr>
                <w:sz w:val="18"/>
                <w:szCs w:val="18"/>
              </w:rPr>
            </w:pPr>
            <w:r>
              <w:rPr>
                <w:rFonts w:hint="eastAsia"/>
                <w:sz w:val="18"/>
                <w:szCs w:val="18"/>
              </w:rPr>
              <w:t>管理维护：支持SNMP v1/v2/v3、Telnet、RMON、SSHv2；支持通过命令行、Web、中文图形化配置软件等方式进行配置和管理；支持Telemetry技术，配合网络分析组件通过智能故障识别算法对网络数据进行分析，精准展现网络实时状态，并能及时有效地定界故障以及定位故障发生原因，发现影响用户体验的网络问题。</w:t>
            </w:r>
          </w:p>
          <w:p>
            <w:pPr>
              <w:spacing w:line="276" w:lineRule="auto"/>
              <w:ind w:left="15" w:leftChars="5" w:firstLine="370" w:firstLineChars="206"/>
              <w:jc w:val="left"/>
              <w:rPr>
                <w:sz w:val="18"/>
                <w:szCs w:val="18"/>
              </w:rPr>
            </w:pPr>
            <w:r>
              <w:rPr>
                <w:rFonts w:hint="eastAsia"/>
                <w:sz w:val="18"/>
                <w:szCs w:val="18"/>
              </w:rPr>
              <w:t>电源：支持双电源(60W/150W 可拔插交流电源)，自带1个60W交流电源。</w:t>
            </w:r>
          </w:p>
          <w:p>
            <w:pPr>
              <w:widowControl/>
              <w:spacing w:line="240" w:lineRule="auto"/>
              <w:ind w:left="0" w:leftChars="0" w:firstLine="0" w:firstLineChars="0"/>
              <w:jc w:val="left"/>
              <w:textAlignment w:val="center"/>
              <w:rPr>
                <w:rFonts w:hint="eastAsia" w:ascii="仿宋" w:hAnsi="仿宋" w:eastAsia="仿宋" w:cs="仿宋"/>
                <w:color w:val="000000"/>
                <w:kern w:val="0"/>
                <w:sz w:val="18"/>
                <w:szCs w:val="18"/>
                <w:lang w:bidi="ar"/>
              </w:rPr>
            </w:pPr>
          </w:p>
        </w:tc>
      </w:tr>
      <w:tr>
        <w:tblPrEx>
          <w:tblCellMar>
            <w:top w:w="0" w:type="dxa"/>
            <w:left w:w="108" w:type="dxa"/>
            <w:bottom w:w="0" w:type="dxa"/>
            <w:right w:w="108" w:type="dxa"/>
          </w:tblCellMar>
        </w:tblPrEx>
        <w:trPr>
          <w:trHeight w:val="0" w:hRule="atLeast"/>
          <w:jc w:val="center"/>
        </w:trPr>
        <w:tc>
          <w:tcPr>
            <w:tcW w:w="724" w:type="dxa"/>
            <w:tcBorders>
              <w:top w:val="single" w:color="000000" w:sz="4" w:space="0"/>
              <w:left w:val="single" w:color="000000" w:sz="8" w:space="0"/>
              <w:bottom w:val="single" w:color="000000" w:sz="4" w:space="0"/>
              <w:right w:val="single" w:color="000000" w:sz="4" w:space="0"/>
            </w:tcBorders>
            <w:noWrap w:val="0"/>
            <w:vAlign w:val="center"/>
          </w:tcPr>
          <w:p>
            <w:pPr>
              <w:widowControl/>
              <w:spacing w:line="240" w:lineRule="auto"/>
              <w:ind w:firstLine="0" w:firstLineChars="0"/>
              <w:jc w:val="center"/>
              <w:textAlignment w:val="bottom"/>
              <w:rPr>
                <w:rFonts w:hint="eastAsia" w:ascii="仿宋" w:hAnsi="仿宋" w:eastAsia="仿宋" w:cs="仿宋"/>
                <w:color w:val="000000"/>
                <w:sz w:val="18"/>
                <w:szCs w:val="18"/>
              </w:rPr>
            </w:pPr>
            <w:r>
              <w:rPr>
                <w:rFonts w:hint="eastAsia" w:ascii="仿宋" w:hAnsi="仿宋" w:eastAsia="仿宋" w:cs="仿宋"/>
                <w:color w:val="000000"/>
                <w:kern w:val="0"/>
                <w:sz w:val="18"/>
                <w:szCs w:val="18"/>
                <w:lang w:bidi="ar"/>
              </w:rPr>
              <w:t>5</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仿宋" w:hAnsi="仿宋" w:eastAsia="仿宋" w:cs="仿宋"/>
                <w:color w:val="000000"/>
                <w:sz w:val="18"/>
                <w:szCs w:val="18"/>
                <w:highlight w:val="yellow"/>
              </w:rPr>
            </w:pPr>
            <w:r>
              <w:rPr>
                <w:rFonts w:hint="eastAsia" w:ascii="仿宋" w:hAnsi="仿宋" w:eastAsia="仿宋" w:cs="仿宋"/>
                <w:color w:val="000000"/>
                <w:kern w:val="0"/>
                <w:sz w:val="18"/>
                <w:szCs w:val="18"/>
                <w:highlight w:val="none"/>
                <w:lang w:bidi="ar"/>
              </w:rPr>
              <w:t>分布层交换机</w:t>
            </w:r>
          </w:p>
        </w:tc>
        <w:tc>
          <w:tcPr>
            <w:tcW w:w="7695" w:type="dxa"/>
            <w:tcBorders>
              <w:top w:val="single" w:color="000000" w:sz="4" w:space="0"/>
              <w:left w:val="single" w:color="000000" w:sz="4" w:space="0"/>
              <w:bottom w:val="single" w:color="000000" w:sz="4" w:space="0"/>
              <w:right w:val="single" w:color="000000" w:sz="4" w:space="0"/>
            </w:tcBorders>
            <w:noWrap w:val="0"/>
            <w:vAlign w:val="center"/>
          </w:tcPr>
          <w:p>
            <w:pPr>
              <w:spacing w:line="276" w:lineRule="auto"/>
              <w:ind w:left="15" w:leftChars="5" w:firstLine="370" w:firstLineChars="206"/>
              <w:jc w:val="left"/>
              <w:rPr>
                <w:sz w:val="18"/>
                <w:szCs w:val="18"/>
              </w:rPr>
            </w:pPr>
            <w:r>
              <w:rPr>
                <w:rFonts w:hint="eastAsia"/>
                <w:sz w:val="18"/>
                <w:szCs w:val="18"/>
              </w:rPr>
              <w:t>交换容量：  交换容量≥</w:t>
            </w:r>
            <w:r>
              <w:rPr>
                <w:sz w:val="18"/>
                <w:szCs w:val="18"/>
              </w:rPr>
              <w:t>336Gbps/3.36Tbps</w:t>
            </w:r>
            <w:r>
              <w:rPr>
                <w:rFonts w:hint="eastAsia"/>
                <w:sz w:val="18"/>
                <w:szCs w:val="18"/>
              </w:rPr>
              <w:t xml:space="preserve"> </w:t>
            </w:r>
          </w:p>
          <w:p>
            <w:pPr>
              <w:spacing w:line="276" w:lineRule="auto"/>
              <w:ind w:left="15" w:leftChars="5" w:firstLine="370" w:firstLineChars="206"/>
              <w:jc w:val="left"/>
              <w:rPr>
                <w:sz w:val="18"/>
                <w:szCs w:val="18"/>
              </w:rPr>
            </w:pPr>
            <w:r>
              <w:rPr>
                <w:rFonts w:hint="eastAsia"/>
                <w:sz w:val="18"/>
                <w:szCs w:val="18"/>
              </w:rPr>
              <w:t>包转发率：  包转发率≥</w:t>
            </w:r>
            <w:r>
              <w:rPr>
                <w:sz w:val="18"/>
                <w:szCs w:val="18"/>
              </w:rPr>
              <w:t>108/126Mpps</w:t>
            </w:r>
          </w:p>
          <w:p>
            <w:pPr>
              <w:spacing w:line="276" w:lineRule="auto"/>
              <w:ind w:left="15" w:leftChars="5" w:firstLine="370" w:firstLineChars="206"/>
              <w:jc w:val="left"/>
              <w:rPr>
                <w:sz w:val="18"/>
                <w:szCs w:val="18"/>
              </w:rPr>
            </w:pPr>
            <w:r>
              <w:rPr>
                <w:rFonts w:hint="eastAsia"/>
                <w:sz w:val="18"/>
                <w:szCs w:val="18"/>
              </w:rPr>
              <w:t>端口类型：  24个千兆电口，4个万兆SFP+（包含模块）</w:t>
            </w:r>
          </w:p>
          <w:p>
            <w:pPr>
              <w:spacing w:line="276" w:lineRule="auto"/>
              <w:ind w:left="15" w:leftChars="5" w:firstLine="370" w:firstLineChars="206"/>
              <w:jc w:val="left"/>
              <w:rPr>
                <w:sz w:val="18"/>
                <w:szCs w:val="18"/>
              </w:rPr>
            </w:pPr>
            <w:r>
              <w:rPr>
                <w:rFonts w:hint="eastAsia"/>
                <w:sz w:val="18"/>
                <w:szCs w:val="18"/>
              </w:rPr>
              <w:t>电源：自带1个60W交流电源。</w:t>
            </w:r>
            <w:bookmarkStart w:id="0" w:name="_GoBack"/>
            <w:bookmarkEnd w:id="0"/>
          </w:p>
          <w:p>
            <w:pPr>
              <w:widowControl/>
              <w:spacing w:line="240" w:lineRule="auto"/>
              <w:ind w:left="0" w:leftChars="0" w:firstLine="0" w:firstLineChars="0"/>
              <w:jc w:val="left"/>
              <w:textAlignment w:val="center"/>
              <w:rPr>
                <w:rFonts w:hint="eastAsia" w:ascii="仿宋" w:hAnsi="仿宋" w:eastAsia="仿宋" w:cs="仿宋"/>
                <w:color w:val="000000"/>
                <w:kern w:val="0"/>
                <w:sz w:val="18"/>
                <w:szCs w:val="18"/>
                <w:lang w:bidi="ar"/>
              </w:rPr>
            </w:pPr>
          </w:p>
        </w:tc>
      </w:tr>
      <w:tr>
        <w:tblPrEx>
          <w:tblCellMar>
            <w:top w:w="0" w:type="dxa"/>
            <w:left w:w="108" w:type="dxa"/>
            <w:bottom w:w="0" w:type="dxa"/>
            <w:right w:w="108" w:type="dxa"/>
          </w:tblCellMar>
        </w:tblPrEx>
        <w:trPr>
          <w:trHeight w:val="0" w:hRule="atLeast"/>
          <w:jc w:val="center"/>
        </w:trPr>
        <w:tc>
          <w:tcPr>
            <w:tcW w:w="724" w:type="dxa"/>
            <w:tcBorders>
              <w:top w:val="single" w:color="000000" w:sz="4" w:space="0"/>
              <w:left w:val="single" w:color="000000" w:sz="8" w:space="0"/>
              <w:bottom w:val="nil"/>
              <w:right w:val="single" w:color="000000" w:sz="4" w:space="0"/>
            </w:tcBorders>
            <w:noWrap w:val="0"/>
            <w:vAlign w:val="center"/>
          </w:tcPr>
          <w:p>
            <w:pPr>
              <w:widowControl/>
              <w:spacing w:line="240" w:lineRule="auto"/>
              <w:ind w:firstLine="0" w:firstLineChars="0"/>
              <w:jc w:val="center"/>
              <w:textAlignment w:val="bottom"/>
              <w:rPr>
                <w:rFonts w:hint="eastAsia" w:ascii="仿宋" w:hAnsi="仿宋" w:eastAsia="仿宋" w:cs="仿宋"/>
                <w:color w:val="000000"/>
                <w:sz w:val="18"/>
                <w:szCs w:val="18"/>
              </w:rPr>
            </w:pPr>
            <w:r>
              <w:rPr>
                <w:rFonts w:hint="eastAsia" w:ascii="仿宋" w:hAnsi="仿宋" w:eastAsia="仿宋" w:cs="仿宋"/>
                <w:color w:val="000000"/>
                <w:kern w:val="0"/>
                <w:sz w:val="18"/>
                <w:szCs w:val="18"/>
                <w:lang w:bidi="ar"/>
              </w:rPr>
              <w:t>6</w:t>
            </w:r>
          </w:p>
        </w:tc>
        <w:tc>
          <w:tcPr>
            <w:tcW w:w="1139"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仿宋" w:hAnsi="仿宋" w:eastAsia="仿宋" w:cs="仿宋"/>
                <w:color w:val="000000"/>
                <w:sz w:val="18"/>
                <w:szCs w:val="18"/>
              </w:rPr>
            </w:pPr>
            <w:r>
              <w:rPr>
                <w:rFonts w:hint="eastAsia" w:ascii="Arial" w:hAnsi="Arial" w:eastAsia="宋体" w:cs="Arial"/>
                <w:color w:val="000000"/>
                <w:kern w:val="0"/>
                <w:sz w:val="18"/>
                <w:szCs w:val="18"/>
                <w:lang w:val="en-US" w:eastAsia="zh-CN" w:bidi="ar"/>
              </w:rPr>
              <w:t>云</w:t>
            </w:r>
            <w:r>
              <w:rPr>
                <w:rFonts w:hint="eastAsia" w:ascii="仿宋" w:hAnsi="仿宋" w:eastAsia="仿宋" w:cs="仿宋"/>
                <w:color w:val="000000"/>
                <w:kern w:val="0"/>
                <w:sz w:val="18"/>
                <w:szCs w:val="18"/>
                <w:lang w:bidi="ar"/>
              </w:rPr>
              <w:t>终端</w:t>
            </w:r>
          </w:p>
        </w:tc>
        <w:tc>
          <w:tcPr>
            <w:tcW w:w="769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仿宋" w:hAnsi="仿宋" w:eastAsia="仿宋" w:cs="仿宋"/>
                <w:sz w:val="18"/>
                <w:szCs w:val="18"/>
                <w:vertAlign w:val="baseline"/>
              </w:rPr>
            </w:pPr>
            <w:r>
              <w:rPr>
                <w:rFonts w:hint="eastAsia" w:ascii="仿宋" w:hAnsi="仿宋" w:eastAsia="仿宋" w:cs="仿宋"/>
                <w:sz w:val="18"/>
                <w:szCs w:val="18"/>
                <w:vertAlign w:val="baseline"/>
              </w:rPr>
              <w:t>架构：x86架构嵌入式云终端；</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仿宋" w:hAnsi="仿宋" w:eastAsia="仿宋" w:cs="仿宋"/>
                <w:sz w:val="18"/>
                <w:szCs w:val="18"/>
                <w:vertAlign w:val="baseline"/>
              </w:rPr>
            </w:pPr>
            <w:r>
              <w:rPr>
                <w:rFonts w:hint="eastAsia" w:ascii="仿宋" w:hAnsi="仿宋" w:eastAsia="仿宋" w:cs="仿宋"/>
                <w:sz w:val="18"/>
                <w:szCs w:val="18"/>
                <w:vertAlign w:val="baseline"/>
              </w:rPr>
              <w:t>★CPU：intel处理器≥双核，基础主频≥2.0GHz；</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仿宋" w:hAnsi="仿宋" w:eastAsia="仿宋" w:cs="仿宋"/>
                <w:sz w:val="18"/>
                <w:szCs w:val="18"/>
                <w:vertAlign w:val="baseline"/>
              </w:rPr>
            </w:pPr>
            <w:r>
              <w:rPr>
                <w:rFonts w:hint="eastAsia" w:ascii="仿宋" w:hAnsi="仿宋" w:eastAsia="仿宋" w:cs="仿宋"/>
                <w:sz w:val="18"/>
                <w:szCs w:val="18"/>
                <w:vertAlign w:val="baseline"/>
              </w:rPr>
              <w:t>内存：≥2GB；</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仿宋" w:hAnsi="仿宋" w:eastAsia="仿宋" w:cs="仿宋"/>
                <w:sz w:val="18"/>
                <w:szCs w:val="18"/>
                <w:vertAlign w:val="baseline"/>
              </w:rPr>
            </w:pPr>
            <w:r>
              <w:rPr>
                <w:rFonts w:hint="eastAsia" w:ascii="仿宋" w:hAnsi="仿宋" w:eastAsia="仿宋" w:cs="仿宋"/>
                <w:sz w:val="18"/>
                <w:szCs w:val="18"/>
                <w:vertAlign w:val="baseline"/>
              </w:rPr>
              <w:t>存储：≥</w:t>
            </w:r>
            <w:r>
              <w:rPr>
                <w:rFonts w:hint="eastAsia" w:ascii="仿宋" w:hAnsi="仿宋" w:eastAsia="仿宋" w:cs="仿宋"/>
                <w:sz w:val="18"/>
                <w:szCs w:val="18"/>
                <w:vertAlign w:val="baseline"/>
                <w:lang w:val="en-US" w:eastAsia="zh-CN"/>
              </w:rPr>
              <w:t>64</w:t>
            </w:r>
            <w:r>
              <w:rPr>
                <w:rFonts w:hint="eastAsia" w:ascii="仿宋" w:hAnsi="仿宋" w:eastAsia="仿宋" w:cs="仿宋"/>
                <w:sz w:val="18"/>
                <w:szCs w:val="18"/>
                <w:vertAlign w:val="baseline"/>
              </w:rPr>
              <w:t>GB SSD；</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仿宋" w:hAnsi="仿宋" w:eastAsia="仿宋" w:cs="仿宋"/>
                <w:sz w:val="18"/>
                <w:szCs w:val="18"/>
                <w:vertAlign w:val="baseline"/>
              </w:rPr>
            </w:pPr>
            <w:r>
              <w:rPr>
                <w:rFonts w:hint="eastAsia" w:ascii="仿宋" w:hAnsi="仿宋" w:eastAsia="仿宋" w:cs="仿宋"/>
                <w:sz w:val="18"/>
                <w:szCs w:val="18"/>
                <w:vertAlign w:val="baseline"/>
              </w:rPr>
              <w:t>GPU：集成Intel HD Graphics显示芯片；</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仿宋" w:hAnsi="仿宋" w:eastAsia="仿宋" w:cs="仿宋"/>
                <w:sz w:val="18"/>
                <w:szCs w:val="18"/>
                <w:vertAlign w:val="baseline"/>
              </w:rPr>
            </w:pPr>
            <w:r>
              <w:rPr>
                <w:rFonts w:hint="eastAsia" w:ascii="仿宋" w:hAnsi="仿宋" w:eastAsia="仿宋" w:cs="仿宋"/>
                <w:sz w:val="18"/>
                <w:szCs w:val="18"/>
                <w:vertAlign w:val="baseline"/>
              </w:rPr>
              <w:t>接口：≥4个USB端口，1组音频输入输出口，1个VGA口，1个HDMI口</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仿宋" w:hAnsi="仿宋" w:eastAsia="仿宋" w:cs="仿宋"/>
                <w:sz w:val="18"/>
                <w:szCs w:val="18"/>
                <w:vertAlign w:val="baseline"/>
              </w:rPr>
            </w:pPr>
            <w:r>
              <w:rPr>
                <w:rFonts w:hint="eastAsia" w:ascii="仿宋" w:hAnsi="仿宋" w:eastAsia="仿宋" w:cs="仿宋"/>
                <w:sz w:val="18"/>
                <w:szCs w:val="18"/>
                <w:vertAlign w:val="baseline"/>
              </w:rPr>
              <w:t>网络：1个千兆网口；</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仿宋" w:hAnsi="仿宋" w:eastAsia="仿宋" w:cs="仿宋"/>
                <w:sz w:val="18"/>
                <w:szCs w:val="18"/>
                <w:vertAlign w:val="baseline"/>
              </w:rPr>
            </w:pPr>
            <w:r>
              <w:rPr>
                <w:rFonts w:hint="eastAsia" w:ascii="仿宋" w:hAnsi="仿宋" w:eastAsia="仿宋" w:cs="仿宋"/>
                <w:sz w:val="18"/>
                <w:szCs w:val="18"/>
                <w:vertAlign w:val="baseline"/>
              </w:rPr>
              <w:t>供电：220V/AC输入，12V/DC输出电源适配器，防浪涌、宽压设计；</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仿宋" w:hAnsi="仿宋" w:eastAsia="仿宋" w:cs="仿宋"/>
                <w:sz w:val="18"/>
                <w:szCs w:val="18"/>
                <w:vertAlign w:val="baseline"/>
              </w:rPr>
            </w:pPr>
            <w:r>
              <w:rPr>
                <w:rFonts w:hint="eastAsia" w:ascii="仿宋" w:hAnsi="仿宋" w:eastAsia="仿宋" w:cs="仿宋"/>
                <w:sz w:val="18"/>
                <w:szCs w:val="18"/>
                <w:vertAlign w:val="baseline"/>
              </w:rPr>
              <w:t>散热：无风扇设计，0dB无噪音散热片被动散热；</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仿宋" w:hAnsi="仿宋" w:eastAsia="仿宋" w:cs="仿宋"/>
                <w:sz w:val="18"/>
                <w:szCs w:val="18"/>
                <w:vertAlign w:val="baseline"/>
              </w:rPr>
            </w:pPr>
            <w:r>
              <w:rPr>
                <w:rFonts w:hint="eastAsia" w:ascii="仿宋" w:hAnsi="仿宋" w:eastAsia="仿宋" w:cs="仿宋"/>
                <w:sz w:val="18"/>
                <w:szCs w:val="18"/>
                <w:vertAlign w:val="baseline"/>
              </w:rPr>
              <w:t>★单个终端可部署多个操作系统，支持在管理平台上设置终端共享数据盘，所有操作系统均可见，可设置终端共享数据盘的的空间大小，并能设定清除策略，包含不清除/每周清除/每月清除；（提供功能截图并加盖原厂公章）</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仿宋" w:hAnsi="仿宋" w:eastAsia="仿宋" w:cs="仿宋"/>
                <w:sz w:val="18"/>
                <w:szCs w:val="18"/>
                <w:vertAlign w:val="baseline"/>
              </w:rPr>
            </w:pPr>
            <w:r>
              <w:rPr>
                <w:rFonts w:hint="eastAsia" w:ascii="仿宋" w:hAnsi="仿宋" w:eastAsia="仿宋" w:cs="仿宋"/>
                <w:sz w:val="18"/>
                <w:szCs w:val="18"/>
                <w:vertAlign w:val="baseline"/>
              </w:rPr>
              <w:t>支持统一设置终端分辨率，也可以设置自适应显示器最佳分辨率；</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仿宋" w:hAnsi="仿宋" w:eastAsia="仿宋" w:cs="仿宋"/>
                <w:sz w:val="18"/>
                <w:szCs w:val="18"/>
                <w:vertAlign w:val="baseline"/>
              </w:rPr>
            </w:pPr>
            <w:r>
              <w:rPr>
                <w:rFonts w:hint="eastAsia" w:ascii="仿宋" w:hAnsi="仿宋" w:eastAsia="仿宋" w:cs="仿宋"/>
                <w:sz w:val="18"/>
                <w:szCs w:val="18"/>
                <w:vertAlign w:val="baseline"/>
              </w:rPr>
              <w:t>★单个终端可同时支持教学桌面和</w:t>
            </w:r>
            <w:r>
              <w:rPr>
                <w:rFonts w:hint="eastAsia" w:ascii="仿宋" w:hAnsi="仿宋" w:cs="仿宋"/>
                <w:sz w:val="18"/>
                <w:szCs w:val="18"/>
                <w:vertAlign w:val="baseline"/>
                <w:lang w:val="en-US" w:eastAsia="zh-CN"/>
              </w:rPr>
              <w:t>教师</w:t>
            </w:r>
            <w:r>
              <w:rPr>
                <w:rFonts w:hint="eastAsia" w:ascii="仿宋" w:hAnsi="仿宋" w:eastAsia="仿宋" w:cs="仿宋"/>
                <w:sz w:val="18"/>
                <w:szCs w:val="18"/>
                <w:vertAlign w:val="baseline"/>
              </w:rPr>
              <w:t>个人</w:t>
            </w:r>
            <w:r>
              <w:rPr>
                <w:rFonts w:hint="eastAsia" w:ascii="仿宋" w:hAnsi="仿宋" w:cs="仿宋"/>
                <w:sz w:val="18"/>
                <w:szCs w:val="18"/>
                <w:vertAlign w:val="baseline"/>
                <w:lang w:val="en-US" w:eastAsia="zh-CN"/>
              </w:rPr>
              <w:t>办公</w:t>
            </w:r>
            <w:r>
              <w:rPr>
                <w:rFonts w:hint="eastAsia" w:ascii="仿宋" w:hAnsi="仿宋" w:eastAsia="仿宋" w:cs="仿宋"/>
                <w:sz w:val="18"/>
                <w:szCs w:val="18"/>
                <w:vertAlign w:val="baseline"/>
              </w:rPr>
              <w:t>桌面两种使用方式，教学桌面开机无需账号直接进入桌面，个人桌面开机须输入账号密码进入桌面；管理台可控制允许终端进入的桌面类型，包括仅使用教学桌面，仅使用个人桌面，混合登录三种方式；（提供功能截图并加盖原厂公章）</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仿宋" w:hAnsi="仿宋" w:eastAsia="仿宋" w:cs="仿宋"/>
                <w:sz w:val="18"/>
                <w:szCs w:val="18"/>
                <w:vertAlign w:val="baseline"/>
              </w:rPr>
            </w:pPr>
            <w:r>
              <w:rPr>
                <w:rFonts w:hint="eastAsia" w:ascii="仿宋" w:hAnsi="仿宋" w:eastAsia="仿宋" w:cs="仿宋"/>
                <w:sz w:val="18"/>
                <w:szCs w:val="18"/>
                <w:vertAlign w:val="baseline"/>
              </w:rPr>
              <w:t>★支持在一个终端上通过一个账号密码，同时登录多个个人桌面，桌面可窗口化显示，可以拖动缩放,无需桌面切换即可满足用户同时使用不同桌面的场景；（提供功能截图并加盖原厂公章）</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仿宋" w:hAnsi="仿宋" w:eastAsia="仿宋" w:cs="仿宋"/>
                <w:sz w:val="18"/>
                <w:szCs w:val="18"/>
                <w:vertAlign w:val="baseline"/>
              </w:rPr>
            </w:pPr>
            <w:r>
              <w:rPr>
                <w:rFonts w:hint="eastAsia" w:ascii="仿宋" w:hAnsi="仿宋" w:eastAsia="仿宋" w:cs="仿宋"/>
                <w:sz w:val="18"/>
                <w:szCs w:val="18"/>
                <w:vertAlign w:val="baseline"/>
              </w:rPr>
              <w:t>★产品具备一定的抗冲击能力，在GJB150.18A-2009《军用装备实验室环境试验方法 第18部分:冲击试验》下，设备能正常开关机，无零部件脱落、松动现象；（提供第三方机构出具的带CNAS和CMA标识的功能性测试报告扫描件）</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仿宋" w:hAnsi="仿宋" w:eastAsia="仿宋" w:cs="仿宋"/>
                <w:sz w:val="18"/>
                <w:szCs w:val="18"/>
                <w:vertAlign w:val="baseline"/>
              </w:rPr>
            </w:pPr>
            <w:r>
              <w:rPr>
                <w:rFonts w:hint="eastAsia" w:ascii="仿宋" w:hAnsi="仿宋" w:eastAsia="仿宋" w:cs="仿宋"/>
                <w:sz w:val="18"/>
                <w:szCs w:val="18"/>
                <w:vertAlign w:val="baseline"/>
              </w:rPr>
              <w:t>★为保证网络传输不受骚扰，要求所投产品在0.15~0.50MHz和0.50~30MHz频率范围内传导连续骚扰（电信端口）符合国家GB/T 9254.1-2021相关标准（提供第三方机构出具的带CNAS和CMA标识的功能性测试报告扫描件）</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仿宋" w:hAnsi="仿宋" w:eastAsia="仿宋" w:cs="仿宋"/>
                <w:sz w:val="18"/>
                <w:szCs w:val="18"/>
                <w:vertAlign w:val="baseline"/>
              </w:rPr>
            </w:pPr>
            <w:r>
              <w:rPr>
                <w:rFonts w:hint="eastAsia" w:ascii="仿宋" w:hAnsi="仿宋" w:eastAsia="仿宋" w:cs="仿宋"/>
                <w:sz w:val="18"/>
                <w:szCs w:val="18"/>
                <w:vertAlign w:val="baseline"/>
              </w:rPr>
              <w:t>★产品满足浪涌（冲击）抗扰度要求（符合GB/T17626.5-2019相关标准）；（1）AC电源端口线对地4kV，线对线2kV，设备不出现画面质量降低，存储数据丢失，按键失灵现象；（2）电信端口线对地4kV，设备不出现画面质量降低，存储数据丢失，按键失灵现象；（提供第三方机构出具的带CNAS和CMA标识的功能性测试报告扫描件）</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仿宋" w:hAnsi="仿宋" w:eastAsia="仿宋" w:cs="仿宋"/>
                <w:sz w:val="18"/>
                <w:szCs w:val="18"/>
                <w:vertAlign w:val="baseline"/>
              </w:rPr>
            </w:pPr>
            <w:r>
              <w:rPr>
                <w:rFonts w:hint="eastAsia" w:ascii="仿宋" w:hAnsi="仿宋" w:eastAsia="仿宋" w:cs="仿宋"/>
                <w:sz w:val="18"/>
                <w:szCs w:val="18"/>
                <w:vertAlign w:val="baseline"/>
              </w:rPr>
              <w:t>支持云终端联动关机设置策略，可实现虚拟桌面正常关机时，终端设备自动关机；终端设备按电源键时虚拟桌面自动关机，终端异常断电时可根据策略实现虚拟机自动关机或挂起；</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5" w:leftChars="0" w:hanging="425" w:firstLineChars="0"/>
              <w:textAlignment w:val="auto"/>
              <w:rPr>
                <w:rFonts w:hint="eastAsia" w:ascii="仿宋" w:hAnsi="仿宋" w:eastAsia="仿宋" w:cs="仿宋"/>
                <w:sz w:val="18"/>
                <w:szCs w:val="18"/>
                <w:vertAlign w:val="baseline"/>
              </w:rPr>
            </w:pPr>
            <w:r>
              <w:rPr>
                <w:rFonts w:hint="eastAsia" w:ascii="仿宋" w:hAnsi="仿宋" w:eastAsia="仿宋" w:cs="仿宋"/>
                <w:sz w:val="18"/>
                <w:szCs w:val="18"/>
                <w:vertAlign w:val="baseline"/>
              </w:rPr>
              <w:t>认证：通过国家强制CCC认证以及节能认证；</w:t>
            </w:r>
          </w:p>
          <w:p>
            <w:pPr>
              <w:widowControl/>
              <w:numPr>
                <w:ilvl w:val="0"/>
                <w:numId w:val="5"/>
              </w:numPr>
              <w:spacing w:line="240" w:lineRule="auto"/>
              <w:ind w:left="425" w:leftChars="0" w:hanging="425" w:firstLineChars="0"/>
              <w:contextualSpacing/>
              <w:jc w:val="left"/>
              <w:textAlignment w:val="center"/>
              <w:rPr>
                <w:rFonts w:hint="eastAsia" w:ascii="仿宋" w:hAnsi="仿宋" w:eastAsia="仿宋" w:cs="仿宋"/>
                <w:color w:val="000000"/>
                <w:kern w:val="0"/>
                <w:sz w:val="18"/>
                <w:szCs w:val="18"/>
                <w:lang w:bidi="ar"/>
              </w:rPr>
            </w:pPr>
            <w:r>
              <w:rPr>
                <w:rFonts w:hint="eastAsia" w:ascii="仿宋" w:hAnsi="仿宋" w:eastAsia="仿宋" w:cs="仿宋"/>
                <w:sz w:val="18"/>
                <w:szCs w:val="18"/>
                <w:vertAlign w:val="baseline"/>
              </w:rPr>
              <w:t>提供产品原厂授权函和售后服务承诺函；</w:t>
            </w:r>
          </w:p>
        </w:tc>
      </w:tr>
    </w:tbl>
    <w:p>
      <w:pPr>
        <w:ind w:left="0" w:leftChars="0" w:firstLine="0" w:firstLineChars="0"/>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00"/>
      </w:pPr>
      <w:r>
        <w:separator/>
      </w:r>
    </w:p>
  </w:endnote>
  <w:endnote w:type="continuationSeparator" w:id="1">
    <w:p>
      <w:pPr>
        <w:spacing w:line="240" w:lineRule="auto"/>
        <w:ind w:firstLine="60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00"/>
      </w:pPr>
      <w:r>
        <w:separator/>
      </w:r>
    </w:p>
  </w:footnote>
  <w:footnote w:type="continuationSeparator" w:id="1">
    <w:p>
      <w:pPr>
        <w:spacing w:line="360" w:lineRule="auto"/>
        <w:ind w:firstLine="60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BD5C12"/>
    <w:multiLevelType w:val="singleLevel"/>
    <w:tmpl w:val="B3BD5C12"/>
    <w:lvl w:ilvl="0" w:tentative="0">
      <w:start w:val="1"/>
      <w:numFmt w:val="chineseCounting"/>
      <w:suff w:val="space"/>
      <w:lvlText w:val="%1、"/>
      <w:lvlJc w:val="left"/>
      <w:rPr>
        <w:rFonts w:hint="eastAsia"/>
      </w:rPr>
    </w:lvl>
  </w:abstractNum>
  <w:abstractNum w:abstractNumId="1">
    <w:nsid w:val="F9A26F4B"/>
    <w:multiLevelType w:val="singleLevel"/>
    <w:tmpl w:val="F9A26F4B"/>
    <w:lvl w:ilvl="0" w:tentative="0">
      <w:start w:val="1"/>
      <w:numFmt w:val="decimal"/>
      <w:lvlText w:val="%1."/>
      <w:lvlJc w:val="left"/>
      <w:pPr>
        <w:ind w:left="425" w:hanging="425"/>
      </w:pPr>
      <w:rPr>
        <w:rFonts w:hint="default"/>
      </w:rPr>
    </w:lvl>
  </w:abstractNum>
  <w:abstractNum w:abstractNumId="2">
    <w:nsid w:val="0BBC55E1"/>
    <w:multiLevelType w:val="multilevel"/>
    <w:tmpl w:val="0BBC55E1"/>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3">
    <w:nsid w:val="4CA85ABF"/>
    <w:multiLevelType w:val="singleLevel"/>
    <w:tmpl w:val="4CA85ABF"/>
    <w:lvl w:ilvl="0" w:tentative="0">
      <w:start w:val="1"/>
      <w:numFmt w:val="decimal"/>
      <w:lvlText w:val="%1."/>
      <w:lvlJc w:val="left"/>
      <w:pPr>
        <w:ind w:left="425" w:hanging="425"/>
      </w:pPr>
      <w:rPr>
        <w:rFonts w:hint="default"/>
      </w:rPr>
    </w:lvl>
  </w:abstractNum>
  <w:abstractNum w:abstractNumId="4">
    <w:nsid w:val="568FD48E"/>
    <w:multiLevelType w:val="singleLevel"/>
    <w:tmpl w:val="568FD48E"/>
    <w:lvl w:ilvl="0" w:tentative="0">
      <w:start w:val="1"/>
      <w:numFmt w:val="decimal"/>
      <w:lvlText w:val="%1."/>
      <w:lvlJc w:val="left"/>
      <w:pPr>
        <w:ind w:left="425" w:hanging="425"/>
      </w:pPr>
      <w:rPr>
        <w:rFont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M3ODczOTQ1M2ViODYwODc0OWQxNjhjYzkxMTI5NTgifQ=="/>
  </w:docVars>
  <w:rsids>
    <w:rsidRoot w:val="11C02973"/>
    <w:rsid w:val="0AFB27D6"/>
    <w:rsid w:val="11C02973"/>
    <w:rsid w:val="15D32F45"/>
    <w:rsid w:val="188E2BAB"/>
    <w:rsid w:val="347E631A"/>
    <w:rsid w:val="3B6042F8"/>
    <w:rsid w:val="5DE006C1"/>
    <w:rsid w:val="65367854"/>
    <w:rsid w:val="6962178B"/>
    <w:rsid w:val="732A7972"/>
    <w:rsid w:val="7EB937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contextualSpacing/>
      <w:jc w:val="both"/>
    </w:pPr>
    <w:rPr>
      <w:rFonts w:ascii="Times New Roman" w:hAnsi="Times New Roman" w:eastAsia="仿宋" w:cs="Times New Roman"/>
      <w:kern w:val="2"/>
      <w:sz w:val="30"/>
      <w:szCs w:val="22"/>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rFonts w:ascii="Times New Roman" w:hAnsi="Times New Roman" w:cs="Times New Roman"/>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7">
    <w:name w:val="List Paragraph"/>
    <w:basedOn w:val="1"/>
    <w:qFormat/>
    <w:uiPriority w:val="99"/>
    <w:pPr>
      <w:ind w:firstLine="4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4735</Words>
  <Characters>5261</Characters>
  <Lines>0</Lines>
  <Paragraphs>0</Paragraphs>
  <TotalTime>2</TotalTime>
  <ScaleCrop>false</ScaleCrop>
  <LinksUpToDate>false</LinksUpToDate>
  <CharactersWithSpaces>5276</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2023-11-17T07:07:00Z</dcterms:created>
  <dc:creator>廖良蓉</dc:creator>
  <cp:lastModifiedBy>xjy33</cp:lastModifiedBy>
  <dcterms:modified xsi:type="dcterms:W3CDTF">2023-11-21T04:22:02Z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A2B3EDAFDCE94FE5B2AB0212D44073FA</vt:lpwstr>
  </property>
</Properties>
</file>